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771" w:type="dxa"/>
        <w:jc w:val="left"/>
        <w:tblInd w:w="-70" w:type="dxa"/>
        <w:tblBorders/>
        <w:tblCellMar>
          <w:top w:w="0" w:type="dxa"/>
          <w:left w:w="70" w:type="dxa"/>
          <w:bottom w:w="0" w:type="dxa"/>
          <w:right w:w="70" w:type="dxa"/>
        </w:tblCellMar>
      </w:tblPr>
      <w:tblGrid>
        <w:gridCol w:w="3667"/>
        <w:gridCol w:w="2398"/>
        <w:gridCol w:w="3706"/>
      </w:tblGrid>
      <w:tr>
        <w:trPr/>
        <w:tc>
          <w:tcPr>
            <w:tcW w:w="3667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Хальмг Тан</w:t>
            </w:r>
            <w:r>
              <w:rPr>
                <w:b/>
                <w:bCs/>
                <w:szCs w:val="28"/>
                <w:lang w:val="en-US"/>
              </w:rPr>
              <w:t>h</w:t>
            </w:r>
            <w:r>
              <w:rPr>
                <w:b/>
                <w:bCs/>
                <w:szCs w:val="28"/>
              </w:rPr>
              <w:t>чин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Эсто-Алтайск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сельск муниципальн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szCs w:val="28"/>
              </w:rPr>
              <w:t>Б</w:t>
            </w:r>
            <w:r>
              <w:rPr>
                <w:b/>
                <w:bCs/>
                <w:szCs w:val="28"/>
                <w:lang w:val="en-US"/>
              </w:rPr>
              <w:t>Y</w:t>
            </w:r>
            <w:r>
              <w:rPr>
                <w:b/>
                <w:bCs/>
                <w:szCs w:val="28"/>
              </w:rPr>
              <w:t>РДЭЦИИН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ДЕПУТАТНЫРИН ХУРЫГ</w:t>
            </w:r>
          </w:p>
        </w:tc>
        <w:tc>
          <w:tcPr>
            <w:tcW w:w="2398" w:type="dxa"/>
            <w:tcBorders/>
            <w:shd w:fill="auto" w:val="clear"/>
          </w:tcPr>
          <w:p>
            <w:pPr>
              <w:pStyle w:val="Normal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drawing>
                <wp:inline distT="0" distB="0" distL="0" distR="0">
                  <wp:extent cx="1141095" cy="1265555"/>
                  <wp:effectExtent l="0" t="0" r="0" b="0"/>
                  <wp:docPr id="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32" t="-28" r="-32" b="-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95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6" w:type="dxa"/>
            <w:tcBorders/>
            <w:shd w:fill="auto" w:val="clear"/>
          </w:tcPr>
          <w:p>
            <w:pPr>
              <w:pStyle w:val="Heading2"/>
              <w:numPr>
                <w:ilvl w:val="1"/>
                <w:numId w:val="1"/>
              </w:numPr>
              <w:spacing w:before="240" w:after="60"/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</w:rPr>
              <w:t>Собрание депутатов</w:t>
            </w:r>
          </w:p>
          <w:p>
            <w:pPr>
              <w:pStyle w:val="Heading2"/>
              <w:numPr>
                <w:ilvl w:val="1"/>
                <w:numId w:val="1"/>
              </w:numPr>
              <w:rPr>
                <w:rFonts w:ascii="Times New Roman" w:hAnsi="Times New Roman" w:cs="Times New Roman"/>
                <w:i w:val="false"/>
                <w:i w:val="false"/>
                <w:iCs w:val="false"/>
                <w:sz w:val="24"/>
              </w:rPr>
            </w:pPr>
            <w:r>
              <w:rPr>
                <w:rFonts w:cs="Times New Roman" w:ascii="Times New Roman" w:hAnsi="Times New Roman"/>
                <w:i w:val="false"/>
                <w:iCs w:val="false"/>
                <w:sz w:val="24"/>
              </w:rPr>
              <w:t xml:space="preserve">Эсто-Алтайского сельского муниципального образования Республики Калмыкия </w:t>
            </w:r>
          </w:p>
          <w:p>
            <w:pPr>
              <w:pStyle w:val="Normal"/>
              <w:tabs>
                <w:tab w:val="left" w:pos="2623" w:leader="none"/>
              </w:tabs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</w:rPr>
            </w:r>
          </w:p>
        </w:tc>
      </w:tr>
      <w:tr>
        <w:trPr>
          <w:trHeight w:val="1242" w:hRule="atLeast"/>
        </w:trPr>
        <w:tc>
          <w:tcPr>
            <w:tcW w:w="9771" w:type="dxa"/>
            <w:gridSpan w:val="3"/>
            <w:tcBorders/>
            <w:shd w:fill="auto" w:val="clear"/>
          </w:tcPr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359026,Республика Калмыкия, с. Эсто-Алтай, ул. Карла Маркса </w:t>
            </w:r>
          </w:p>
          <w:p>
            <w:pPr>
              <w:pStyle w:val="Normal"/>
              <w:tabs>
                <w:tab w:val="left" w:pos="2623" w:leader="none"/>
              </w:tabs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ИНН 0812900527, т.( 84745) 98-2-41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    </w:t>
            </w:r>
            <w:r>
              <w:rPr>
                <w:b/>
                <w:bCs/>
              </w:rPr>
              <w:t>________________________________________________________________</w:t>
            </w:r>
          </w:p>
          <w:p>
            <w:pPr>
              <w:pStyle w:val="Normal"/>
              <w:tabs>
                <w:tab w:val="left" w:pos="2623" w:leader="none"/>
              </w:tabs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</w:tbl>
    <w:p>
      <w:pPr>
        <w:pStyle w:val="TextBody"/>
        <w:jc w:val="left"/>
        <w:rPr>
          <w:sz w:val="28"/>
        </w:rPr>
      </w:pPr>
      <w:r>
        <w:rPr>
          <w:sz w:val="28"/>
        </w:rPr>
      </w:r>
    </w:p>
    <w:p>
      <w:pPr>
        <w:pStyle w:val="Heading1"/>
        <w:numPr>
          <w:ilvl w:val="0"/>
          <w:numId w:val="1"/>
        </w:numPr>
        <w:rPr>
          <w:i w:val="false"/>
          <w:i w:val="false"/>
          <w:iCs w:val="false"/>
        </w:rPr>
      </w:pPr>
      <w:r>
        <w:rPr>
          <w:i w:val="false"/>
          <w:iCs w:val="false"/>
        </w:rPr>
        <w:t>РЕШЕНИЕ   № 8</w:t>
      </w:r>
    </w:p>
    <w:p>
      <w:pPr>
        <w:pStyle w:val="Normal"/>
        <w:rPr>
          <w:i/>
          <w:i/>
          <w:iCs/>
          <w:sz w:val="28"/>
        </w:rPr>
      </w:pPr>
      <w:r>
        <w:rPr>
          <w:i/>
          <w:iCs/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от 25.04.2013 г.</w:t>
        <w:tab/>
        <w:tab/>
        <w:tab/>
        <w:tab/>
        <w:tab/>
        <w:tab/>
        <w:tab/>
        <w:tab/>
        <w:tab/>
        <w:t>с. Эсто-Алтай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/>
      </w:pPr>
      <w:r>
        <w:rPr/>
        <w:t>«О внесении изменений и</w:t>
      </w:r>
    </w:p>
    <w:p>
      <w:pPr>
        <w:pStyle w:val="Normal"/>
        <w:rPr/>
      </w:pPr>
      <w:r>
        <w:rPr/>
        <w:t>дополнений в решение № 27</w:t>
      </w:r>
    </w:p>
    <w:p>
      <w:pPr>
        <w:pStyle w:val="Normal"/>
        <w:rPr/>
      </w:pPr>
      <w:r>
        <w:rPr/>
        <w:t>от  27 .12.2012г «О бюджете</w:t>
      </w:r>
    </w:p>
    <w:p>
      <w:pPr>
        <w:pStyle w:val="Normal"/>
        <w:rPr/>
      </w:pPr>
      <w:r>
        <w:rPr/>
        <w:t>Администрации Эсто-Алтайского</w:t>
      </w:r>
    </w:p>
    <w:p>
      <w:pPr>
        <w:pStyle w:val="Normal"/>
        <w:rPr/>
      </w:pPr>
      <w:r>
        <w:rPr/>
        <w:t>сельского муниципального</w:t>
      </w:r>
    </w:p>
    <w:p>
      <w:pPr>
        <w:pStyle w:val="Normal"/>
        <w:rPr/>
      </w:pPr>
      <w:r>
        <w:rPr/>
        <w:t>образования Республики Калмыкия</w:t>
      </w:r>
    </w:p>
    <w:p>
      <w:pPr>
        <w:pStyle w:val="Normal"/>
        <w:rPr/>
      </w:pPr>
      <w:r>
        <w:rPr/>
        <w:t xml:space="preserve"> </w:t>
      </w:r>
      <w:r>
        <w:rPr/>
        <w:t xml:space="preserve">на 2013 год» </w:t>
      </w:r>
    </w:p>
    <w:p>
      <w:pPr>
        <w:pStyle w:val="Normal"/>
        <w:rPr/>
      </w:pPr>
      <w:r>
        <w:rPr/>
      </w:r>
    </w:p>
    <w:p>
      <w:pPr>
        <w:pStyle w:val="2"/>
        <w:tabs>
          <w:tab w:val="left" w:pos="1080" w:leader="none"/>
        </w:tabs>
        <w:ind w:left="0" w:hanging="0"/>
        <w:rPr/>
      </w:pPr>
      <w:r>
        <w:rPr/>
        <w:t xml:space="preserve">              </w:t>
      </w:r>
      <w:r>
        <w:rPr>
          <w:sz w:val="24"/>
        </w:rPr>
        <w:t xml:space="preserve">Собрание депутатов Эсто-Алтайского сельского муниципального  образования    </w:t>
      </w:r>
    </w:p>
    <w:p>
      <w:pPr>
        <w:pStyle w:val="2"/>
        <w:tabs>
          <w:tab w:val="left" w:pos="1080" w:leader="none"/>
        </w:tabs>
        <w:ind w:left="0" w:hanging="0"/>
        <w:rPr/>
      </w:pPr>
      <w:r>
        <w:rPr/>
        <w:t xml:space="preserve">              </w:t>
      </w:r>
      <w:r>
        <w:rPr>
          <w:sz w:val="24"/>
        </w:rPr>
        <w:t xml:space="preserve">Республики Калмыкия  приняло решение внести следующие  дополнения и изменения  </w:t>
      </w:r>
    </w:p>
    <w:p>
      <w:pPr>
        <w:pStyle w:val="2"/>
        <w:tabs>
          <w:tab w:val="left" w:pos="1080" w:leader="none"/>
        </w:tabs>
        <w:ind w:left="0" w:hanging="0"/>
        <w:rPr>
          <w:sz w:val="24"/>
        </w:rPr>
      </w:pPr>
      <w:r>
        <w:rPr>
          <w:sz w:val="24"/>
        </w:rPr>
        <w:t xml:space="preserve">                 </w:t>
      </w:r>
      <w:r>
        <w:rPr>
          <w:sz w:val="24"/>
        </w:rPr>
        <w:t xml:space="preserve">в  решение Собрания депутатов Эсто-Алтайского сельского муниципального  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образования №27 от 27 декабря 2012года «О бюджете Администрации Эсто-Алтайского      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сельского муниципального образования Республики Калмыкия на 2013 год» </w:t>
      </w:r>
      <w:r>
        <w:rPr>
          <w:b/>
          <w:bCs/>
        </w:rPr>
        <w:t>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2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Внести изменение в статью №1, заменив слова « по расходам в сумме 1 890 900 рублей» на слова « по расходам в сумме 3 790 900 рублей »; заменив слова «и доходам в сумме 1 730 900 рублей» на слова « и доходам в сумме 3 630 900рублей »; заменив слова «на 2013 год в сумме 1 730 900 рублей» на слова «на 2013год в сумме 3 630 900 </w:t>
      </w:r>
    </w:p>
    <w:p>
      <w:pPr>
        <w:pStyle w:val="2"/>
        <w:ind w:left="840" w:hanging="0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>рублей»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</w:t>
      </w:r>
      <w:r>
        <w:rPr>
          <w:sz w:val="24"/>
        </w:rPr>
        <w:t xml:space="preserve">2.  Внести в приложение №2 «Объем поступлений    доходов в бюджет Администрации     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 xml:space="preserve">Эсто-Алтайского  сельского  муниципального образования в 2013 году»   статьи № 4 </w:t>
      </w:r>
    </w:p>
    <w:p>
      <w:pPr>
        <w:pStyle w:val="TextBodyIndent"/>
        <w:ind w:left="0" w:hanging="0"/>
        <w:rPr>
          <w:sz w:val="24"/>
        </w:rPr>
      </w:pPr>
      <w:r>
        <w:rPr>
          <w:sz w:val="24"/>
        </w:rPr>
        <w:t xml:space="preserve">                   </w:t>
      </w:r>
      <w:r>
        <w:rPr>
          <w:sz w:val="24"/>
        </w:rPr>
        <w:t>изменения и   дополнения  согласно  приложения №2  к настоящему решению</w:t>
      </w:r>
    </w:p>
    <w:p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Внести в приложение №3 «Распределение ассигнований бюджета Администрации   </w:t>
      </w:r>
    </w:p>
    <w:p>
      <w:pPr>
        <w:pStyle w:val="TextBodyIndent"/>
        <w:ind w:left="840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Эсто-Алтайского  сельского муниципального образования на 2013год по разделам,  </w:t>
      </w:r>
    </w:p>
    <w:p>
      <w:pPr>
        <w:pStyle w:val="TextBodyIndent"/>
        <w:ind w:left="840" w:hanging="0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 xml:space="preserve">подразделам, целевым статьям и видам расходов функциональной классификации    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 xml:space="preserve">расходов» статьи №6  изменения и дополнения согласно приложения №  3 к       </w:t>
      </w:r>
    </w:p>
    <w:p>
      <w:pPr>
        <w:pStyle w:val="Normal"/>
        <w:ind w:firstLine="708"/>
        <w:rPr/>
      </w:pPr>
      <w:r>
        <w:rPr/>
        <w:t xml:space="preserve">      </w:t>
      </w:r>
      <w:r>
        <w:rPr/>
        <w:t>настоящему  решению.</w:t>
      </w:r>
    </w:p>
    <w:p>
      <w:pPr>
        <w:pStyle w:val="Normal"/>
        <w:rPr/>
      </w:pPr>
      <w:r>
        <w:rPr/>
        <w:t xml:space="preserve">               </w:t>
      </w:r>
      <w:r>
        <w:rPr/>
        <w:t xml:space="preserve">4 .  Согласно принятых изменений и дополнений внести изменения в поквартальную  </w:t>
      </w:r>
    </w:p>
    <w:p>
      <w:pPr>
        <w:pStyle w:val="Normal"/>
        <w:rPr/>
      </w:pPr>
      <w:r>
        <w:rPr/>
        <w:t xml:space="preserve">                   </w:t>
      </w:r>
      <w:r>
        <w:rPr/>
        <w:t xml:space="preserve">разбивку  в «Сводную бюджетную роспись    расходов Администрации  Эсто-       </w:t>
      </w:r>
    </w:p>
    <w:p>
      <w:pPr>
        <w:pStyle w:val="Normal"/>
        <w:rPr/>
      </w:pPr>
      <w:r>
        <w:rPr/>
        <w:t xml:space="preserve">                  </w:t>
      </w:r>
      <w:r>
        <w:rPr/>
        <w:t xml:space="preserve">Алтайского сельского муниципального образования Республики Калмыкия на 2013  </w:t>
      </w:r>
    </w:p>
    <w:p>
      <w:pPr>
        <w:pStyle w:val="Normal"/>
        <w:rPr/>
      </w:pPr>
      <w:r>
        <w:rPr/>
        <w:t xml:space="preserve">                  </w:t>
      </w:r>
      <w:r>
        <w:rPr/>
        <w:t xml:space="preserve">год» и .в  «Сводную роспись доходов Администрации  Эсто- Алтайского сельского  </w:t>
      </w:r>
    </w:p>
    <w:p>
      <w:pPr>
        <w:pStyle w:val="Normal"/>
        <w:rPr/>
      </w:pPr>
      <w:r>
        <w:rPr/>
        <w:t xml:space="preserve">                  </w:t>
      </w:r>
      <w:r>
        <w:rPr/>
        <w:t>муниципального образования Республики Калмыкия на    2013год.»</w:t>
      </w:r>
    </w:p>
    <w:p>
      <w:pPr>
        <w:pStyle w:val="TextBodyIndent"/>
        <w:ind w:left="840" w:hanging="0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rPr/>
      </w:pPr>
      <w:r>
        <w:rPr/>
        <w:t xml:space="preserve">                 </w:t>
      </w:r>
      <w:r>
        <w:rPr/>
        <w:t xml:space="preserve">Председатель Собрания депутатов </w:t>
      </w:r>
    </w:p>
    <w:p>
      <w:pPr>
        <w:pStyle w:val="Normal"/>
        <w:rPr/>
      </w:pPr>
      <w:r>
        <w:rPr/>
        <w:t xml:space="preserve">                 </w:t>
      </w:r>
      <w:r>
        <w:rPr/>
        <w:t>Эсто-Алтайского   сельского</w:t>
      </w:r>
    </w:p>
    <w:p>
      <w:pPr>
        <w:pStyle w:val="Normal"/>
        <w:tabs>
          <w:tab w:val="left" w:pos="1080" w:leader="none"/>
        </w:tabs>
        <w:rPr/>
      </w:pPr>
      <w:r>
        <w:rPr/>
        <w:t xml:space="preserve">                 </w:t>
      </w:r>
      <w:r>
        <w:rPr/>
        <w:t>муниципального образования</w:t>
      </w:r>
    </w:p>
    <w:p>
      <w:pPr>
        <w:pStyle w:val="Normal"/>
        <w:rPr/>
      </w:pPr>
      <w:r>
        <w:rPr/>
        <w:t xml:space="preserve">                 </w:t>
      </w:r>
      <w:r>
        <w:rPr/>
        <w:t>Республики Калмыкия:                                                                 Ш.А. Гамзаев</w:t>
      </w:r>
    </w:p>
    <w:p>
      <w:pPr>
        <w:pStyle w:val="Normal"/>
        <w:rPr/>
      </w:pPr>
      <w:r>
        <w:rPr/>
      </w:r>
    </w:p>
    <w:tbl>
      <w:tblPr>
        <w:tblW w:w="4772" w:type="dxa"/>
        <w:jc w:val="left"/>
        <w:tblInd w:w="5974" w:type="dxa"/>
        <w:tblBorders/>
        <w:tblCellMar>
          <w:top w:w="20" w:type="dxa"/>
          <w:left w:w="20" w:type="dxa"/>
          <w:bottom w:w="0" w:type="dxa"/>
          <w:right w:w="20" w:type="dxa"/>
        </w:tblCellMar>
      </w:tblPr>
      <w:tblGrid>
        <w:gridCol w:w="4772"/>
      </w:tblGrid>
      <w:tr>
        <w:trPr>
          <w:trHeight w:val="181" w:hRule="atLeast"/>
        </w:trPr>
        <w:tc>
          <w:tcPr>
            <w:tcW w:w="4772" w:type="dxa"/>
            <w:tcBorders/>
            <w:shd w:fill="auto" w:val="clear"/>
            <w:vAlign w:val="bottom"/>
          </w:tcPr>
          <w:p>
            <w:pPr>
              <w:pStyle w:val="Footer"/>
              <w:tabs>
                <w:tab w:val="left" w:pos="1972" w:leader="none"/>
              </w:tabs>
              <w:ind w:right="-748" w:hanging="0"/>
              <w:rPr>
                <w:rFonts w:eastAsia="Arial Unicode MS"/>
                <w:b/>
                <w:b/>
                <w:bCs/>
                <w:sz w:val="28"/>
                <w:szCs w:val="20"/>
                <w:lang w:val="ru-RU"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ru-RU" w:eastAsia="ru-RU"/>
              </w:rPr>
              <w:t xml:space="preserve">                        </w:t>
            </w:r>
          </w:p>
          <w:p>
            <w:pPr>
              <w:pStyle w:val="Footer"/>
              <w:tabs>
                <w:tab w:val="left" w:pos="1972" w:leader="none"/>
                <w:tab w:val="center" w:pos="4677" w:leader="none"/>
                <w:tab w:val="right" w:pos="9355" w:leader="none"/>
              </w:tabs>
              <w:ind w:right="-748" w:hanging="0"/>
              <w:rPr>
                <w:rFonts w:eastAsia="Arial Unicode MS"/>
                <w:b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b/>
                <w:bCs/>
                <w:sz w:val="20"/>
                <w:szCs w:val="20"/>
                <w:lang w:val="ru-RU" w:eastAsia="ru-RU"/>
              </w:rPr>
              <w:t xml:space="preserve">                                     </w:t>
            </w:r>
            <w:r>
              <w:rPr>
                <w:b/>
                <w:bCs/>
                <w:sz w:val="20"/>
                <w:szCs w:val="20"/>
                <w:lang w:val="ru-RU" w:eastAsia="ru-RU"/>
              </w:rPr>
              <w:t>Приложение № 3</w:t>
            </w:r>
          </w:p>
        </w:tc>
      </w:tr>
    </w:tbl>
    <w:p>
      <w:pPr>
        <w:pStyle w:val="Normal"/>
        <w:ind w:firstLine="6120"/>
        <w:jc w:val="right"/>
        <w:rPr>
          <w:sz w:val="18"/>
        </w:rPr>
      </w:pPr>
      <w:r>
        <w:rPr>
          <w:sz w:val="18"/>
        </w:rPr>
        <w:t xml:space="preserve">             </w:t>
      </w:r>
      <w:r>
        <w:rPr>
          <w:sz w:val="18"/>
        </w:rPr>
        <w:t>к Решению Собрания депутатов</w:t>
      </w:r>
    </w:p>
    <w:p>
      <w:pPr>
        <w:pStyle w:val="Normal"/>
        <w:ind w:firstLine="6120"/>
        <w:jc w:val="right"/>
        <w:rPr>
          <w:sz w:val="18"/>
        </w:rPr>
      </w:pPr>
      <w:r>
        <w:rPr>
          <w:sz w:val="18"/>
        </w:rPr>
        <w:t xml:space="preserve">              </w:t>
      </w:r>
      <w:r>
        <w:rPr>
          <w:sz w:val="18"/>
        </w:rPr>
        <w:t xml:space="preserve">Эсто-Алтайского сельского   </w:t>
      </w:r>
    </w:p>
    <w:p>
      <w:pPr>
        <w:pStyle w:val="Normal"/>
        <w:ind w:firstLine="6120"/>
        <w:jc w:val="right"/>
        <w:rPr>
          <w:sz w:val="18"/>
        </w:rPr>
      </w:pPr>
      <w:r>
        <w:rPr>
          <w:sz w:val="18"/>
        </w:rPr>
        <w:t xml:space="preserve">              </w:t>
      </w:r>
      <w:r>
        <w:rPr>
          <w:sz w:val="18"/>
        </w:rPr>
        <w:t>муниципального образования</w:t>
      </w:r>
    </w:p>
    <w:p>
      <w:pPr>
        <w:pStyle w:val="Normal"/>
        <w:ind w:firstLine="6120"/>
        <w:jc w:val="right"/>
        <w:rPr>
          <w:sz w:val="18"/>
        </w:rPr>
      </w:pPr>
      <w:r>
        <w:rPr>
          <w:sz w:val="18"/>
        </w:rPr>
        <w:t xml:space="preserve">              </w:t>
      </w:r>
      <w:r>
        <w:rPr>
          <w:sz w:val="18"/>
        </w:rPr>
        <w:t xml:space="preserve">Республики Калмыкия    </w:t>
      </w:r>
    </w:p>
    <w:p>
      <w:pPr>
        <w:pStyle w:val="Normal"/>
        <w:jc w:val="right"/>
        <w:rPr/>
      </w:pPr>
      <w:r>
        <w:rPr>
          <w:sz w:val="18"/>
        </w:rPr>
        <w:t xml:space="preserve">              </w:t>
      </w:r>
      <w:r>
        <w:rPr>
          <w:sz w:val="18"/>
        </w:rPr>
        <w:t>«</w:t>
      </w:r>
      <w:r>
        <w:rPr>
          <w:sz w:val="18"/>
          <w:szCs w:val="18"/>
        </w:rPr>
        <w:t>О внесении изменений и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дополнений в решение № 27</w:t>
      </w:r>
    </w:p>
    <w:p>
      <w:pPr>
        <w:pStyle w:val="Normal"/>
        <w:jc w:val="right"/>
        <w:rPr/>
      </w:pPr>
      <w:r>
        <w:rPr>
          <w:sz w:val="18"/>
          <w:szCs w:val="18"/>
        </w:rPr>
        <w:t>от  27.12.2012г «О бюджете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Администрации Эсто-Алтайского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сельского муниципального</w:t>
      </w:r>
    </w:p>
    <w:p>
      <w:pPr>
        <w:pStyle w:val="Normal"/>
        <w:jc w:val="right"/>
        <w:rPr>
          <w:sz w:val="18"/>
          <w:szCs w:val="18"/>
        </w:rPr>
      </w:pPr>
      <w:r>
        <w:rPr>
          <w:sz w:val="18"/>
          <w:szCs w:val="18"/>
        </w:rPr>
        <w:t>образования Республики Калмыкия</w:t>
      </w:r>
    </w:p>
    <w:p>
      <w:pPr>
        <w:pStyle w:val="Normal"/>
        <w:tabs>
          <w:tab w:val="left" w:pos="2680" w:leader="none"/>
        </w:tabs>
        <w:jc w:val="right"/>
        <w:rPr/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на 2013 год</w:t>
      </w:r>
      <w:r>
        <w:rPr>
          <w:sz w:val="18"/>
        </w:rPr>
        <w:t xml:space="preserve">»» </w:t>
      </w:r>
    </w:p>
    <w:p>
      <w:pPr>
        <w:pStyle w:val="Normal"/>
        <w:tabs>
          <w:tab w:val="left" w:pos="2680" w:leader="none"/>
        </w:tabs>
        <w:jc w:val="right"/>
        <w:rPr/>
      </w:pPr>
      <w:r>
        <w:rPr>
          <w:sz w:val="18"/>
        </w:rPr>
        <w:t xml:space="preserve">№ </w:t>
      </w:r>
      <w:r>
        <w:rPr>
          <w:sz w:val="18"/>
        </w:rPr>
        <w:t>8 от 25 апреля 2013 г.</w:t>
      </w:r>
    </w:p>
    <w:p>
      <w:pPr>
        <w:pStyle w:val="Style14"/>
        <w:spacing w:lineRule="exact" w:line="240" w:before="0" w:after="0"/>
        <w:jc w:val="center"/>
        <w:rPr>
          <w:rStyle w:val="Hl41"/>
          <w:rFonts w:ascii="Times New Roman" w:hAnsi="Times New Roman" w:cs="Times New Roman"/>
          <w:sz w:val="28"/>
        </w:rPr>
      </w:pPr>
      <w:r>
        <w:rPr>
          <w:sz w:val="18"/>
        </w:rPr>
      </w:r>
    </w:p>
    <w:p>
      <w:pPr>
        <w:pStyle w:val="Style14"/>
        <w:spacing w:lineRule="exact" w:line="240" w:before="0" w:after="0"/>
        <w:jc w:val="center"/>
        <w:rPr/>
      </w:pPr>
      <w:r>
        <w:rPr>
          <w:rStyle w:val="Hl41"/>
          <w:rFonts w:cs="Times New Roman" w:ascii="Times New Roman" w:hAnsi="Times New Roman"/>
          <w:sz w:val="28"/>
        </w:rPr>
        <w:t xml:space="preserve">Объем поступлений доходов </w:t>
      </w:r>
    </w:p>
    <w:p>
      <w:pPr>
        <w:pStyle w:val="Style14"/>
        <w:spacing w:lineRule="exact" w:line="240" w:before="0" w:after="0"/>
        <w:jc w:val="center"/>
        <w:rPr/>
      </w:pPr>
      <w:r>
        <w:rPr>
          <w:rStyle w:val="Hl41"/>
          <w:rFonts w:cs="Times New Roman" w:ascii="Times New Roman" w:hAnsi="Times New Roman"/>
          <w:sz w:val="28"/>
        </w:rPr>
        <w:t>в бюджет Эсто-Алтайского  сельского муниципального образования</w:t>
      </w:r>
    </w:p>
    <w:p>
      <w:pPr>
        <w:pStyle w:val="Style14"/>
        <w:spacing w:lineRule="exact" w:line="240" w:before="0" w:after="0"/>
        <w:jc w:val="center"/>
        <w:rPr/>
      </w:pPr>
      <w:r>
        <w:rPr>
          <w:rStyle w:val="Hl41"/>
          <w:rFonts w:eastAsia="Times New Roman" w:cs="Times New Roman" w:ascii="Times New Roman" w:hAnsi="Times New Roman"/>
          <w:sz w:val="28"/>
        </w:rPr>
        <w:t xml:space="preserve"> </w:t>
      </w:r>
      <w:r>
        <w:rPr>
          <w:rStyle w:val="Hl41"/>
          <w:rFonts w:cs="Times New Roman" w:ascii="Times New Roman" w:hAnsi="Times New Roman"/>
          <w:sz w:val="28"/>
        </w:rPr>
        <w:t>в 2013 году.</w:t>
      </w:r>
    </w:p>
    <w:p>
      <w:pPr>
        <w:pStyle w:val="Style14"/>
        <w:spacing w:lineRule="exact" w:line="240" w:before="0" w:after="0"/>
        <w:jc w:val="center"/>
        <w:rPr/>
      </w:pPr>
      <w:r>
        <w:rPr>
          <w:rStyle w:val="Hl41"/>
          <w:rFonts w:eastAsia="Times New Roman" w:cs="Times New Roman" w:ascii="Times New Roman" w:hAnsi="Times New Roman"/>
          <w:b w:val="false"/>
          <w:bCs w:val="false"/>
          <w:sz w:val="28"/>
        </w:rPr>
        <w:t xml:space="preserve">                                                                                                                                          </w:t>
      </w:r>
      <w:r>
        <w:rPr/>
        <w:t>(тыс. рублей)</w:t>
      </w:r>
    </w:p>
    <w:tbl>
      <w:tblPr>
        <w:tblW w:w="10318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2748"/>
        <w:gridCol w:w="6240"/>
        <w:gridCol w:w="1330"/>
      </w:tblGrid>
      <w:tr>
        <w:trPr>
          <w:trHeight w:val="301" w:hRule="atLeast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Код бюджетной классификации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дохода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Сумма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182 1 01 02010 01 0000 110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облагаемых по налоговой ставке, установленной п.1 ст.224 Налогового кодекса РФ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200,0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182 10102020 01 0000 110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кабинеты..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182 10102030 01 0000 110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182 1 05 03010 01 0000 110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3"/>
              <w:tabs>
                <w:tab w:val="left" w:pos="2680" w:leader="none"/>
              </w:tabs>
              <w:rPr>
                <w:sz w:val="28"/>
                <w:szCs w:val="24"/>
                <w:lang w:val="ru-RU" w:eastAsia="ru-RU"/>
              </w:rPr>
            </w:pPr>
            <w:r>
              <w:rPr>
                <w:sz w:val="28"/>
                <w:szCs w:val="24"/>
                <w:lang w:val="ru-RU" w:eastAsia="ru-RU"/>
              </w:rPr>
              <w:t>Единый сельскохозяйственный налог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50,0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182 1 06 01030 10 0000 110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45,0</w:t>
            </w:r>
          </w:p>
        </w:tc>
      </w:tr>
      <w:tr>
        <w:trPr>
          <w:trHeight w:val="858" w:hRule="atLeast"/>
        </w:trPr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182 1 06 06013 10 0000 110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820,0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182 1 06 06023 10 0000 110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274 1 08 04020 01 0000 110</w:t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274 2 02 01001 10 0000 151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Дотации бюджетам поселений на выравнивание уровня бюджетной обеспеченности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541,0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274 2 02 03015 10 0000 151 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Субвенции бюджетам поселений на осуществление полномочий по первичному  воинскому учету на территориях, где отсутствуют воинские комиссариаты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/>
            </w:pPr>
            <w:r>
              <w:rPr/>
              <w:t>40,5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tbl>
            <w:tblPr>
              <w:tblW w:w="25400" w:type="dxa"/>
              <w:jc w:val="left"/>
              <w:tblInd w:w="0" w:type="dxa"/>
              <w:tblBorders/>
              <w:tblCellMar>
                <w:top w:w="15" w:type="dxa"/>
                <w:left w:w="15" w:type="dxa"/>
                <w:bottom w:w="0" w:type="dxa"/>
                <w:right w:w="15" w:type="dxa"/>
              </w:tblCellMar>
            </w:tblPr>
            <w:tblGrid>
              <w:gridCol w:w="6580"/>
              <w:gridCol w:w="740"/>
              <w:gridCol w:w="700"/>
              <w:gridCol w:w="960"/>
              <w:gridCol w:w="980"/>
              <w:gridCol w:w="940"/>
              <w:gridCol w:w="1300"/>
              <w:gridCol w:w="3620"/>
              <w:gridCol w:w="960"/>
              <w:gridCol w:w="960"/>
              <w:gridCol w:w="960"/>
              <w:gridCol w:w="4780"/>
              <w:gridCol w:w="960"/>
              <w:gridCol w:w="960"/>
            </w:tblGrid>
            <w:tr>
              <w:trPr>
                <w:trHeight w:val="255" w:hRule="atLeast"/>
              </w:trPr>
              <w:tc>
                <w:tcPr>
                  <w:tcW w:w="658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color w:val="0000FF"/>
                      <w:sz w:val="20"/>
                      <w:szCs w:val="20"/>
                    </w:rPr>
                  </w:pPr>
                  <w:r>
                    <w:rPr>
                      <w:color w:val="0000FF"/>
                      <w:sz w:val="20"/>
                      <w:szCs w:val="20"/>
                    </w:rPr>
                  </w:r>
                </w:p>
              </w:tc>
              <w:tc>
                <w:tcPr>
                  <w:tcW w:w="7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274</w:t>
                  </w:r>
                </w:p>
              </w:tc>
              <w:tc>
                <w:tcPr>
                  <w:tcW w:w="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</w:t>
                  </w:r>
                </w:p>
              </w:tc>
              <w:tc>
                <w:tcPr>
                  <w:tcW w:w="9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insideH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00" w:type="dxa"/>
                  <w:tcBorders>
                    <w:left w:val="single" w:sz="4" w:space="0" w:color="000000"/>
                  </w:tcBorders>
                  <w:shd w:fill="auto" w:val="clear"/>
                  <w:vAlign w:val="bottom"/>
                </w:tcPr>
                <w:p>
                  <w:pPr>
                    <w:pStyle w:val="Normal"/>
                    <w:jc w:val="right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  <w:t>1 900 000</w:t>
                  </w:r>
                </w:p>
              </w:tc>
              <w:tc>
                <w:tcPr>
                  <w:tcW w:w="362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96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96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96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478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96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  <w:tc>
                <w:tcPr>
                  <w:tcW w:w="960" w:type="dxa"/>
                  <w:tcBorders/>
                  <w:shd w:fill="auto" w:val="clear"/>
                  <w:vAlign w:val="bottom"/>
                </w:tcPr>
                <w:p>
                  <w:pPr>
                    <w:pStyle w:val="Normal"/>
                    <w:snapToGrid w:val="false"/>
                    <w:rPr>
                      <w:rFonts w:ascii="Arial CYR" w:hAnsi="Arial CYR" w:cs="Arial CYR"/>
                      <w:sz w:val="20"/>
                      <w:szCs w:val="20"/>
                    </w:rPr>
                  </w:pPr>
                  <w:r>
                    <w:rPr>
                      <w:rFonts w:cs="Arial CYR" w:ascii="Arial CYR" w:hAnsi="Arial CYR"/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tabs>
                <w:tab w:val="left" w:pos="2680" w:leader="none"/>
              </w:tabs>
              <w:rPr>
                <w:sz w:val="28"/>
              </w:rPr>
            </w:pPr>
            <w:r>
              <w:rPr>
                <w:sz w:val="28"/>
              </w:rPr>
              <w:t>274 2 02  02 07710 0000 151</w:t>
            </w:r>
          </w:p>
          <w:p>
            <w:pPr>
              <w:pStyle w:val="Normal"/>
              <w:tabs>
                <w:tab w:val="left" w:pos="2680" w:leader="none"/>
              </w:tabs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rPr>
                <w:sz w:val="28"/>
              </w:rPr>
            </w:pPr>
            <w:r>
              <w:rPr>
                <w:sz w:val="28"/>
              </w:rPr>
              <w:t>Субсидии бюджетам поселений на бюджетные инвестиции  в  объекты  кап. строительства собственности  муниципальных образований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keepNext w:val="false"/>
              <w:tabs>
                <w:tab w:val="left" w:pos="2680" w:leader="none"/>
              </w:tabs>
              <w:spacing w:before="0" w:after="0"/>
              <w:rPr>
                <w:b w:val="false"/>
                <w:b w:val="false"/>
                <w:bCs w:val="false"/>
                <w:sz w:val="28"/>
                <w:szCs w:val="24"/>
              </w:rPr>
            </w:pPr>
            <w:r>
              <w:rPr>
                <w:b w:val="false"/>
                <w:bCs w:val="false"/>
                <w:sz w:val="28"/>
                <w:szCs w:val="24"/>
              </w:rPr>
              <w:t>1 900</w:t>
            </w:r>
          </w:p>
        </w:tc>
      </w:tr>
      <w:tr>
        <w:trPr/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snapToGrid w:val="false"/>
              <w:jc w:val="center"/>
              <w:rPr>
                <w:b w:val="false"/>
                <w:b w:val="false"/>
                <w:bCs w:val="false"/>
                <w:sz w:val="28"/>
                <w:szCs w:val="24"/>
              </w:rPr>
            </w:pPr>
            <w:r>
              <w:rPr>
                <w:b w:val="false"/>
                <w:bCs w:val="false"/>
                <w:sz w:val="28"/>
                <w:szCs w:val="24"/>
              </w:rPr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left" w:pos="2680" w:leader="none"/>
              </w:tabs>
              <w:jc w:val="center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Всего доходов: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5"/>
              <w:keepNext w:val="false"/>
              <w:tabs>
                <w:tab w:val="left" w:pos="2680" w:leader="none"/>
              </w:tabs>
              <w:spacing w:before="0" w:after="0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3 630,9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sectPr>
      <w:type w:val="nextPage"/>
      <w:pgSz w:w="11906" w:h="16838"/>
      <w:pgMar w:left="1440" w:right="340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Arial Unicode MS">
    <w:charset w:val="00"/>
    <w:family w:val="swiss"/>
    <w:pitch w:val="variable"/>
  </w:font>
  <w:font w:name="Arial CYR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/>
    </w:lvl>
    <w:lvl w:ilvl="1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/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/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i/>
      <w:iCs/>
      <w:sz w:val="28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 New Roman" w:hAnsi="Times New Roman" w:eastAsia="Times New Roman" w:cs="Times New Roman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rFonts w:ascii="Times New Roman" w:hAnsi="Times New Roman" w:eastAsia="Times New Roman" w:cs="Times New Roman"/>
    </w:rPr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>
      <w:rFonts w:ascii="Times New Roman" w:hAnsi="Times New Roman" w:eastAsia="Times New Roman" w:cs="Times New Roman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Style12">
    <w:name w:val="Основной шрифт абзаца"/>
    <w:qFormat/>
    <w:rPr/>
  </w:style>
  <w:style w:type="character" w:styleId="Hl41">
    <w:name w:val="hl41"/>
    <w:basedOn w:val="Style12"/>
    <w:qFormat/>
    <w:rPr>
      <w:b/>
      <w:bCs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jc w:val="center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372" w:firstLine="708"/>
    </w:pPr>
    <w:rPr>
      <w:sz w:val="28"/>
    </w:rPr>
  </w:style>
  <w:style w:type="paragraph" w:styleId="2">
    <w:name w:val="Основной текст с отступом 2"/>
    <w:basedOn w:val="Normal"/>
    <w:qFormat/>
    <w:pPr>
      <w:ind w:left="708" w:firstLine="372"/>
    </w:pPr>
    <w:rPr>
      <w:sz w:val="28"/>
    </w:rPr>
  </w:style>
  <w:style w:type="paragraph" w:styleId="Style13">
    <w:name w:val="Текст примечания"/>
    <w:basedOn w:val="Normal"/>
    <w:qFormat/>
    <w:pPr/>
    <w:rPr>
      <w:sz w:val="20"/>
      <w:szCs w:val="20"/>
      <w:lang w:val="en-US"/>
    </w:rPr>
  </w:style>
  <w:style w:type="paragraph" w:styleId="Footer">
    <w:name w:val="Footer"/>
    <w:basedOn w:val="Normal"/>
    <w:pPr>
      <w:tabs>
        <w:tab w:val="center" w:pos="4677" w:leader="none"/>
        <w:tab w:val="right" w:pos="9355" w:leader="none"/>
      </w:tabs>
    </w:pPr>
    <w:rPr>
      <w:lang w:val="en-US"/>
    </w:rPr>
  </w:style>
  <w:style w:type="paragraph" w:styleId="Style14">
    <w:name w:val="Обычный (веб)"/>
    <w:basedOn w:val="Normal"/>
    <w:qFormat/>
    <w:pPr>
      <w:spacing w:before="100" w:after="100"/>
    </w:pPr>
    <w:rPr>
      <w:rFonts w:ascii="Arial Unicode MS" w:hAnsi="Arial Unicode MS" w:eastAsia="Arial Unicode MS" w:cs="Arial Unicode MS"/>
    </w:rPr>
  </w:style>
  <w:style w:type="paragraph" w:styleId="Style15">
    <w:name w:val="Заголовок_ТАБ"/>
    <w:basedOn w:val="Normal"/>
    <w:qFormat/>
    <w:pPr>
      <w:keepNext w:val="true"/>
      <w:spacing w:before="0" w:after="120"/>
      <w:jc w:val="center"/>
    </w:pPr>
    <w:rPr>
      <w:b/>
      <w:bCs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Application>LibreOffice/6.0.3.2$Linux_X86_64 LibreOffice_project/00m0$Build-2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2006-03-31T17:56:00Z</dcterms:created>
  <dc:creator>1</dc:creator>
  <dc:description/>
  <cp:keywords/>
  <dc:language>en-US</dc:language>
  <cp:lastModifiedBy>Владелец</cp:lastModifiedBy>
  <cp:lastPrinted>2013-07-24T15:31:00Z</cp:lastPrinted>
  <dcterms:modified xsi:type="dcterms:W3CDTF">2013-07-24T15:33:00Z</dcterms:modified>
  <cp:revision>84</cp:revision>
  <dc:subject/>
  <dc:title>СОБРАНИЕ ДЕПУТАТОВ БЕРЕЗОВСКОГО СЕЛЬСКОГО МУНИЦИПАЛЬНОГО ОБРАЗОВАНИЯ ЯШАЛТИНСКОГО РАЙОНА РЕСПУБЛИИКИ КАЛМЫКИЯ</dc:title>
</cp:coreProperties>
</file>