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ind w:left="650" w:hanging="43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ind w:left="650" w:hanging="43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ind w:left="650" w:hanging="43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lang w:val="en-US"/>
              </w:rPr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e-mail: </w:t>
            </w:r>
            <w:hyperlink r:id="rId3">
              <w:r>
                <w:rPr>
                  <w:rStyle w:val="InternetLink"/>
                  <w:b/>
                  <w:color w:val="000000"/>
                  <w:sz w:val="20"/>
                  <w:szCs w:val="20"/>
                  <w:u w:val="none"/>
                  <w:lang w:val="en-US"/>
                </w:rPr>
                <w:t>Esto-Altay@yandex</w:t>
              </w:r>
            </w:hyperlink>
            <w:hyperlink r:id="rId4"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TextBody"/>
        <w:jc w:val="left"/>
        <w:rPr>
          <w:b/>
          <w:b/>
          <w:bCs/>
          <w:sz w:val="24"/>
        </w:rPr>
      </w:pPr>
      <w:r>
        <w:rPr/>
        <w:t xml:space="preserve"> </w:t>
      </w:r>
    </w:p>
    <w:p>
      <w:pPr>
        <w:pStyle w:val="Heading1"/>
        <w:numPr>
          <w:ilvl w:val="0"/>
          <w:numId w:val="1"/>
        </w:numPr>
        <w:tabs>
          <w:tab w:val="left" w:pos="-23" w:leader="none"/>
        </w:tabs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>
        <w:rPr>
          <w:sz w:val="24"/>
          <w:szCs w:val="28"/>
        </w:rPr>
        <w:t>РЕШЕНИЕ</w:t>
      </w:r>
    </w:p>
    <w:p>
      <w:pPr>
        <w:pStyle w:val="Normal"/>
        <w:tabs>
          <w:tab w:val="left" w:pos="-23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-23" w:leader="none"/>
        </w:tabs>
        <w:rPr/>
      </w:pPr>
      <w:r>
        <w:rPr>
          <w:sz w:val="22"/>
        </w:rPr>
        <w:t xml:space="preserve">от «21» ноября 2013 года                                          № 23 </w:t>
        <w:tab/>
        <w:tab/>
        <w:t xml:space="preserve">                                с. Эсто-Алтай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jc w:val="left"/>
        <w:rPr>
          <w:b/>
          <w:b/>
          <w:bCs/>
          <w:sz w:val="22"/>
        </w:rPr>
      </w:pPr>
      <w:r>
        <w:rPr>
          <w:b/>
          <w:bCs/>
          <w:sz w:val="22"/>
        </w:rPr>
        <w:t>О налоге  на имущество  физических  лиц   на  территории</w:t>
      </w:r>
    </w:p>
    <w:p>
      <w:pPr>
        <w:pStyle w:val="TextBody"/>
        <w:jc w:val="left"/>
        <w:rPr/>
      </w:pPr>
      <w:r>
        <w:rPr>
          <w:b/>
          <w:bCs/>
          <w:sz w:val="22"/>
        </w:rPr>
        <w:t xml:space="preserve">Эсто-Алтайского   сельского муниципального образования </w:t>
      </w:r>
    </w:p>
    <w:p>
      <w:pPr>
        <w:pStyle w:val="TextBody"/>
        <w:jc w:val="left"/>
        <w:rPr>
          <w:b/>
          <w:b/>
          <w:bCs/>
          <w:sz w:val="22"/>
        </w:rPr>
      </w:pPr>
      <w:r>
        <w:rPr>
          <w:b/>
          <w:bCs/>
          <w:sz w:val="22"/>
        </w:rPr>
        <w:t>Республики Калмыкия</w:t>
      </w:r>
    </w:p>
    <w:p>
      <w:pPr>
        <w:pStyle w:val="TextBody"/>
        <w:jc w:val="left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TextBody"/>
        <w:jc w:val="both"/>
        <w:rPr/>
      </w:pPr>
      <w:r>
        <w:rPr>
          <w:b/>
          <w:bCs/>
          <w:sz w:val="22"/>
        </w:rPr>
        <w:t xml:space="preserve">      </w:t>
      </w:r>
      <w:r>
        <w:rPr>
          <w:sz w:val="22"/>
        </w:rPr>
        <w:t>В соответствии с федеральным законом от 28.11.2009 г. № 283-ФЗ «О внесении изменений в отдельные законодательные акты Российской Федерации», законом Российской Федерации от 09.12.1991 года № 2003-1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«О налогах на имущество физических лиц», Федерального закона от 27 июля 2010 года № 229-ФЗ «О внесении изменений в часть первую и часть вторую Налогового кодекса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руководствуясь Уставом Эсто-Алтайского сельского муниципального образования  Республики Калмыкия, Собрание Эсто-Алтайского сельского муниципального образования  Республики Калмыкия, </w:t>
      </w:r>
      <w:r>
        <w:rPr>
          <w:b/>
          <w:bCs/>
          <w:sz w:val="22"/>
        </w:rPr>
        <w:t>решило:</w:t>
      </w:r>
    </w:p>
    <w:p>
      <w:pPr>
        <w:pStyle w:val="TextBody"/>
        <w:jc w:val="both"/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sz w:val="22"/>
        </w:rPr>
        <w:t>1. Утвердить решение Собрания депутатов Эсто-Алтайского сельского муниципального образования Республики Калмыкия «О налоге на имущество физических лиц на территории Эсто-Алтайского сельского муниципального образования Республики Калмыкия».</w:t>
      </w:r>
    </w:p>
    <w:p>
      <w:pPr>
        <w:pStyle w:val="TextBody"/>
        <w:jc w:val="both"/>
        <w:rPr>
          <w:sz w:val="22"/>
        </w:rPr>
      </w:pPr>
      <w:r>
        <w:rPr>
          <w:sz w:val="22"/>
        </w:rPr>
      </w:r>
    </w:p>
    <w:p>
      <w:pPr>
        <w:pStyle w:val="TextBody"/>
        <w:ind w:left="360" w:hanging="0"/>
        <w:jc w:val="both"/>
        <w:rPr>
          <w:b/>
          <w:b/>
          <w:bCs/>
          <w:sz w:val="22"/>
        </w:rPr>
      </w:pPr>
      <w:r>
        <w:rPr>
          <w:b/>
          <w:bCs/>
          <w:sz w:val="22"/>
        </w:rPr>
        <w:t>1. Общие положения.</w:t>
      </w:r>
    </w:p>
    <w:p>
      <w:pPr>
        <w:pStyle w:val="TextBody"/>
        <w:jc w:val="both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TextBody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1.1. Настоящее решение устанавливает объекты налогообложения, налоговую базу, налоговый период, налоговые ставки, порядок и сроки уплаты налога, а также налоговые льготы.</w:t>
      </w:r>
    </w:p>
    <w:p>
      <w:pPr>
        <w:pStyle w:val="TextBody"/>
        <w:jc w:val="both"/>
        <w:rPr/>
      </w:pPr>
      <w:r>
        <w:rPr>
          <w:sz w:val="22"/>
        </w:rPr>
        <w:t xml:space="preserve">      </w:t>
      </w:r>
      <w:r>
        <w:rPr>
          <w:sz w:val="22"/>
        </w:rPr>
        <w:t>1.2. Общие   принципы,  на   основании   которых  определяются объекты налогообложения, налогоплательщики  налога  и  иные элементы налогообложения  устанавливаются    Налоговым      Кодексом   Российской  Федерации  (в редакции Федерального закона от 29 декабря 2009 года  № 383-ФЗ, Федерального закона от 27 июля 2010 года № 229-ФЗ),  Законом Российской Федерации от 9 декабря 1991 года № 2003-1 « О налогах на имущество физических лиц» (в редакции от 28 ноября 2009 года  № 283-ФЗ).</w:t>
      </w:r>
    </w:p>
    <w:p>
      <w:pPr>
        <w:pStyle w:val="TextBody"/>
        <w:jc w:val="both"/>
        <w:rPr>
          <w:sz w:val="22"/>
        </w:rPr>
      </w:pPr>
      <w:r>
        <w:rPr>
          <w:sz w:val="22"/>
        </w:rPr>
        <w:t xml:space="preserve">   </w:t>
      </w:r>
    </w:p>
    <w:p>
      <w:pPr>
        <w:pStyle w:val="TextBody"/>
        <w:jc w:val="both"/>
        <w:rPr/>
      </w:pPr>
      <w:r>
        <w:rPr>
          <w:sz w:val="22"/>
        </w:rPr>
        <w:t xml:space="preserve">     </w:t>
      </w:r>
      <w:r>
        <w:rPr>
          <w:b/>
          <w:bCs/>
          <w:sz w:val="22"/>
        </w:rPr>
        <w:t>2. Налоговая ставка.</w:t>
      </w:r>
    </w:p>
    <w:p>
      <w:pPr>
        <w:pStyle w:val="TextBody"/>
        <w:jc w:val="both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TextBody"/>
        <w:jc w:val="both"/>
        <w:rPr/>
      </w:pPr>
      <w:r>
        <w:rPr>
          <w:b/>
          <w:bCs/>
          <w:sz w:val="22"/>
        </w:rPr>
        <w:t xml:space="preserve">    </w:t>
      </w:r>
      <w:r>
        <w:rPr>
          <w:sz w:val="22"/>
        </w:rPr>
        <w:t>Определить дифференциацию ставок в установленных пределах в зависимости от суммарной стоимости объекта налогообложения и типов его использования. Утвердить ставки налога в следующих пределах:</w:t>
      </w:r>
    </w:p>
    <w:tbl>
      <w:tblPr>
        <w:tblW w:w="9370" w:type="dxa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40"/>
        <w:gridCol w:w="2895"/>
        <w:gridCol w:w="2335"/>
      </w:tblGrid>
      <w:tr>
        <w:trPr>
          <w:trHeight w:val="720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Тип использования имущества</w:t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Суммарная      инвентаризационная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стоимость объектов   </w:t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налогообложения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Ставка налога</w:t>
            </w:r>
          </w:p>
        </w:tc>
      </w:tr>
      <w:tr>
        <w:trPr>
          <w:trHeight w:val="870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2.1.- на  строения,  помещения,  сооружения,  не  используемые  для  занятия предпринимательской  деятельностью;</w:t>
            </w:r>
          </w:p>
          <w:p>
            <w:pPr>
              <w:pStyle w:val="TextBody"/>
              <w:jc w:val="both"/>
              <w:rPr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-на строения, помещения, сооружения,      используемые  для </w:t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>занятия предпринимательской  деятельностью.</w:t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>2.2. - на  строения,  помещения,  сооружения,  не  используемые  для  занятия предпринимательской  деятельностью;</w:t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- на  строения,  помещения,  сооружения,   используемые  для  занятия предпринимательской  деятельностью;</w:t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>2.3. - на  строения,  помещения,  сооружения,  не  используемые  для  занятия предпринимательской  деятельностью;</w:t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- на  строения,  помещения,  сооружения,   используемые  для  занятия предпринимательской  деятельностью;</w:t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до 300 000 руб.</w:t>
            </w:r>
          </w:p>
          <w:p>
            <w:pPr>
              <w:pStyle w:val="TextBody"/>
              <w:rPr/>
            </w:pPr>
            <w:r>
              <w:rPr>
                <w:sz w:val="22"/>
              </w:rPr>
              <w:t>(включительно)</w:t>
            </w:r>
          </w:p>
          <w:p>
            <w:pPr>
              <w:pStyle w:val="TextBody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до 300 000 руб.</w:t>
            </w:r>
          </w:p>
          <w:p>
            <w:pPr>
              <w:pStyle w:val="TextBody"/>
              <w:rPr/>
            </w:pPr>
            <w:r>
              <w:rPr>
                <w:sz w:val="22"/>
              </w:rPr>
              <w:t>(включительно)</w:t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/>
            </w:pPr>
            <w:r>
              <w:rPr>
                <w:sz w:val="22"/>
              </w:rPr>
              <w:t>свыше 300 000 руб.               до 500 000 руб.</w:t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( включительно)</w:t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свыше 300 000 руб.</w:t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до 500 000 руб.</w:t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( включительно)</w:t>
            </w:r>
          </w:p>
          <w:p>
            <w:pPr>
              <w:pStyle w:val="TextBody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свыше 500 000 руб.</w:t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свыше 500 000 руб.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/>
            </w:pPr>
            <w:r>
              <w:rPr>
                <w:b/>
                <w:bCs/>
                <w:sz w:val="22"/>
              </w:rPr>
              <w:t>0,1%</w:t>
            </w:r>
            <w:r>
              <w:rPr>
                <w:sz w:val="22"/>
              </w:rPr>
              <w:t xml:space="preserve">   </w:t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0,1%</w:t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0,11%</w:t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0,3%</w:t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0,31%</w:t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extBody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0,4%</w:t>
            </w:r>
          </w:p>
        </w:tc>
      </w:tr>
    </w:tbl>
    <w:p>
      <w:pPr>
        <w:pStyle w:val="TextBody"/>
        <w:jc w:val="both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TextBody"/>
        <w:tabs>
          <w:tab w:val="left" w:pos="1080" w:leader="none"/>
        </w:tabs>
        <w:ind w:left="360" w:hanging="0"/>
        <w:jc w:val="both"/>
        <w:rPr/>
      </w:pPr>
      <w:r>
        <w:rPr>
          <w:b/>
          <w:bCs/>
          <w:sz w:val="22"/>
        </w:rPr>
        <w:t>3.  Налоговый период  и  сроки  уплаты  налога.</w:t>
      </w:r>
      <w:r>
        <w:rPr>
          <w:bCs/>
          <w:sz w:val="22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TextBody"/>
        <w:ind w:left="360" w:hanging="0"/>
        <w:jc w:val="both"/>
        <w:rPr>
          <w:bCs/>
          <w:sz w:val="22"/>
        </w:rPr>
      </w:pPr>
      <w:r>
        <w:rPr>
          <w:bCs/>
          <w:sz w:val="22"/>
        </w:rPr>
        <w:t xml:space="preserve">              </w:t>
      </w:r>
    </w:p>
    <w:p>
      <w:pPr>
        <w:pStyle w:val="TextBody"/>
        <w:jc w:val="both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 </w:t>
      </w:r>
      <w:r>
        <w:rPr>
          <w:sz w:val="22"/>
        </w:rPr>
        <w:t>3.</w:t>
      </w:r>
      <w:r>
        <w:rPr>
          <w:bCs/>
          <w:sz w:val="22"/>
        </w:rPr>
        <w:t>1</w:t>
      </w:r>
      <w:r>
        <w:rPr>
          <w:b/>
          <w:bCs/>
          <w:sz w:val="22"/>
        </w:rPr>
        <w:t xml:space="preserve">.  </w:t>
      </w:r>
      <w:r>
        <w:rPr>
          <w:sz w:val="22"/>
        </w:rPr>
        <w:t>Налоговым периодом признается календарный год.</w:t>
      </w:r>
    </w:p>
    <w:p>
      <w:pPr>
        <w:pStyle w:val="TextBody"/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3.2. Уплата  налога  производится  не позднее 1 ноября года, следуемого за годом, за который исчислен налог.</w:t>
      </w:r>
    </w:p>
    <w:p>
      <w:pPr>
        <w:pStyle w:val="TextBody"/>
        <w:ind w:left="360" w:hanging="0"/>
        <w:jc w:val="left"/>
        <w:rPr>
          <w:sz w:val="22"/>
        </w:rPr>
      </w:pPr>
      <w:r>
        <w:rPr>
          <w:sz w:val="22"/>
        </w:rPr>
      </w:r>
    </w:p>
    <w:p>
      <w:pPr>
        <w:pStyle w:val="TextBody"/>
        <w:jc w:val="both"/>
        <w:rPr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>4. Налоговые льготы.</w:t>
      </w:r>
    </w:p>
    <w:p>
      <w:pPr>
        <w:pStyle w:val="TextBody"/>
        <w:jc w:val="both"/>
        <w:rPr>
          <w:sz w:val="22"/>
        </w:rPr>
      </w:pPr>
      <w:r>
        <w:rPr>
          <w:sz w:val="22"/>
        </w:rPr>
      </w:r>
    </w:p>
    <w:p>
      <w:pPr>
        <w:pStyle w:val="TextBody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4.1. Категории граждан, имеющие право на льготы указаны в статье 4 Закона Российской Федерации « О налогах на имущество физических лиц» № 2003-1 от 09 декабря 1991 года ( в редакции от 28.11.2009 г.№ 283-ФЗ), которые самостоятельно предоставляют подтверждающие документы в налоговый орган.</w:t>
      </w:r>
    </w:p>
    <w:p>
      <w:pPr>
        <w:pStyle w:val="TextBody"/>
        <w:jc w:val="both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</w:t>
      </w:r>
    </w:p>
    <w:p>
      <w:pPr>
        <w:pStyle w:val="TextBody"/>
        <w:jc w:val="both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 xml:space="preserve">5. </w:t>
      </w:r>
      <w:r>
        <w:rPr>
          <w:sz w:val="22"/>
        </w:rPr>
        <w:t xml:space="preserve">Настоящее решение вступают в силу с 1 января 2014 года, но не раннее чем по истечении одного месяца со дня его официального опубликования (обнародования) в районной газете «Зори Маныча» и не раннее числа установленного налогового периода.  </w:t>
      </w:r>
    </w:p>
    <w:p>
      <w:pPr>
        <w:pStyle w:val="TextBody"/>
        <w:jc w:val="left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</w:t>
      </w:r>
    </w:p>
    <w:p>
      <w:pPr>
        <w:pStyle w:val="TextBody"/>
        <w:jc w:val="left"/>
        <w:rPr>
          <w:sz w:val="22"/>
        </w:rPr>
      </w:pPr>
      <w:r>
        <w:rPr>
          <w:b/>
          <w:bCs/>
          <w:sz w:val="22"/>
        </w:rPr>
        <w:t xml:space="preserve"> </w:t>
      </w:r>
    </w:p>
    <w:p>
      <w:pPr>
        <w:pStyle w:val="TextBody"/>
        <w:jc w:val="left"/>
        <w:rPr>
          <w:sz w:val="22"/>
        </w:rPr>
      </w:pPr>
      <w:r>
        <w:rPr>
          <w:sz w:val="22"/>
        </w:rPr>
      </w:r>
    </w:p>
    <w:p>
      <w:pPr>
        <w:pStyle w:val="TextBody"/>
        <w:jc w:val="left"/>
        <w:rPr>
          <w:sz w:val="22"/>
        </w:rPr>
      </w:pPr>
      <w:r>
        <w:rPr>
          <w:sz w:val="22"/>
        </w:rPr>
      </w:r>
    </w:p>
    <w:p>
      <w:pPr>
        <w:pStyle w:val="TextBody"/>
        <w:ind w:left="360" w:hanging="360"/>
        <w:jc w:val="left"/>
        <w:rPr/>
      </w:pPr>
      <w:r>
        <w:rPr>
          <w:sz w:val="22"/>
        </w:rPr>
        <w:t xml:space="preserve">Глава Эсто-Алтайского сельского  </w:t>
      </w:r>
    </w:p>
    <w:p>
      <w:pPr>
        <w:pStyle w:val="TextBody"/>
        <w:ind w:left="360" w:hanging="360"/>
        <w:jc w:val="left"/>
        <w:rPr>
          <w:sz w:val="22"/>
        </w:rPr>
      </w:pPr>
      <w:r>
        <w:rPr>
          <w:sz w:val="22"/>
        </w:rPr>
        <w:t xml:space="preserve">муниципального образования </w:t>
      </w:r>
    </w:p>
    <w:p>
      <w:pPr>
        <w:pStyle w:val="TextBody"/>
        <w:ind w:left="360" w:hanging="360"/>
        <w:jc w:val="left"/>
        <w:rPr>
          <w:sz w:val="24"/>
        </w:rPr>
      </w:pPr>
      <w:r>
        <w:rPr>
          <w:sz w:val="22"/>
        </w:rPr>
        <w:t xml:space="preserve">Республики Калмыкия                                                                                                Гамзаев Ш.А.                                                                                                                                       </w:t>
      </w:r>
    </w:p>
    <w:p>
      <w:pPr>
        <w:pStyle w:val="TextBody"/>
        <w:ind w:left="360" w:hanging="0"/>
        <w:jc w:val="left"/>
        <w:rPr>
          <w:sz w:val="24"/>
        </w:rPr>
      </w:pPr>
      <w:r>
        <w:rPr>
          <w:sz w:val="24"/>
        </w:rPr>
        <w:t>.</w:t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"/>
        <w:ind w:left="360" w:hanging="36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extBody"/>
        <w:ind w:left="36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ind w:left="360" w:hanging="0"/>
        <w:jc w:val="left"/>
        <w:rPr>
          <w:sz w:val="24"/>
        </w:rPr>
      </w:pPr>
      <w:r>
        <w:rPr>
          <w:sz w:val="24"/>
        </w:rPr>
      </w:r>
    </w:p>
    <w:p>
      <w:pPr>
        <w:pStyle w:val="31"/>
        <w:rPr>
          <w:sz w:val="24"/>
        </w:rPr>
      </w:pPr>
      <w:r>
        <w:rPr>
          <w:sz w:val="24"/>
        </w:rPr>
      </w:r>
    </w:p>
    <w:p>
      <w:pPr>
        <w:pStyle w:val="31"/>
        <w:rPr>
          <w:sz w:val="24"/>
        </w:rPr>
      </w:pPr>
      <w:r>
        <w:rPr>
          <w:sz w:val="24"/>
        </w:rPr>
      </w:r>
    </w:p>
    <w:p>
      <w:pPr>
        <w:pStyle w:val="TextBody"/>
        <w:ind w:left="360" w:hanging="0"/>
        <w:jc w:val="left"/>
        <w:rPr>
          <w:sz w:val="24"/>
        </w:rPr>
      </w:pPr>
      <w:r>
        <w:rPr>
          <w:sz w:val="24"/>
        </w:rPr>
        <w:t xml:space="preserve"> </w:t>
      </w:r>
    </w:p>
    <w:sectPr>
      <w:type w:val="nextPage"/>
      <w:pgSz w:w="11906" w:h="16838"/>
      <w:pgMar w:left="1701" w:right="567" w:header="0" w:top="107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  <w:sz w:val="36"/>
    </w:rPr>
  </w:style>
  <w:style w:type="paragraph" w:styleId="TextBody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">
    <w:name w:val="Основной текст 2"/>
    <w:basedOn w:val="Normal"/>
    <w:qFormat/>
    <w:pPr>
      <w:jc w:val="center"/>
    </w:pPr>
    <w:rPr/>
  </w:style>
  <w:style w:type="paragraph" w:styleId="3">
    <w:name w:val="Основной текст с отступом 3"/>
    <w:basedOn w:val="Normal"/>
    <w:qFormat/>
    <w:pPr>
      <w:ind w:firstLine="540"/>
      <w:jc w:val="both"/>
    </w:pPr>
    <w:rPr>
      <w:b/>
      <w:bCs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31">
    <w:name w:val="Основной текст 3"/>
    <w:basedOn w:val="Normal"/>
    <w:qFormat/>
    <w:pPr>
      <w:tabs>
        <w:tab w:val="left" w:pos="-23" w:leader="none"/>
      </w:tabs>
      <w:jc w:val="both"/>
    </w:pPr>
    <w:rPr>
      <w:sz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sto-Altay@yandex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2005-11-17T13:05:00Z</dcterms:created>
  <dc:creator>МО</dc:creator>
  <dc:description/>
  <cp:keywords/>
  <dc:language>en-US</dc:language>
  <cp:lastModifiedBy>Владелец</cp:lastModifiedBy>
  <cp:lastPrinted>2013-11-22T09:40:00Z</cp:lastPrinted>
  <dcterms:modified xsi:type="dcterms:W3CDTF">2013-11-22T09:41:00Z</dcterms:modified>
  <cp:revision>95</cp:revision>
  <dc:subject/>
  <dc:title>Решение</dc:title>
</cp:coreProperties>
</file>