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  <w:t xml:space="preserve">  </w:t>
      </w:r>
    </w:p>
    <w:p>
      <w:pPr>
        <w:pStyle w:val="3"/>
        <w:rPr>
          <w:i/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                                                 </w:t>
      </w:r>
      <w:r>
        <w:rPr>
          <w:i/>
          <w:iCs/>
          <w:color w:val="000000"/>
          <w:sz w:val="24"/>
          <w:szCs w:val="32"/>
        </w:rPr>
        <w:t xml:space="preserve">                                                                                                 </w:t>
      </w:r>
    </w:p>
    <w:tbl>
      <w:tblPr>
        <w:tblW w:w="10080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2163"/>
        <w:gridCol w:w="3890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 w:val="false"/>
                <w:sz w:val="20"/>
                <w:szCs w:val="20"/>
              </w:rPr>
            </w:pPr>
            <w:r>
              <w:rPr>
                <w:b/>
                <w:bCs w:val="false"/>
                <w:sz w:val="20"/>
                <w:szCs w:val="20"/>
              </w:rPr>
              <w:t>ХАЛЬМГ ТАН</w:t>
            </w:r>
            <w:r>
              <w:rPr>
                <w:b/>
                <w:bCs w:val="false"/>
                <w:sz w:val="20"/>
                <w:szCs w:val="20"/>
                <w:lang w:val="en-US"/>
              </w:rPr>
              <w:t>h</w:t>
            </w:r>
            <w:r>
              <w:rPr>
                <w:b/>
                <w:bCs w:val="false"/>
                <w:sz w:val="20"/>
                <w:szCs w:val="20"/>
              </w:rPr>
              <w:t>ЧИН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 w:val="false"/>
                <w:sz w:val="20"/>
                <w:szCs w:val="20"/>
              </w:rPr>
            </w:pPr>
            <w:r>
              <w:rPr>
                <w:b/>
                <w:bCs w:val="false"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 w:val="false"/>
                <w:sz w:val="20"/>
                <w:szCs w:val="20"/>
              </w:rPr>
              <w:t>Ə</w:t>
            </w:r>
            <w:r>
              <w:rPr>
                <w:b/>
                <w:bCs w:val="false"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 w:val="false"/>
                <w:sz w:val="20"/>
                <w:szCs w:val="20"/>
              </w:rPr>
              <w:t>Ə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 Б</w:t>
            </w:r>
            <w:r>
              <w:rPr>
                <w:b/>
                <w:sz w:val="20"/>
                <w:szCs w:val="20"/>
                <w:lang w:val="en-US"/>
              </w:rPr>
              <w:t>Y</w:t>
            </w:r>
            <w:r>
              <w:rPr>
                <w:b/>
                <w:sz w:val="20"/>
                <w:szCs w:val="20"/>
              </w:rPr>
              <w:t>РДЭЦИИН</w:t>
            </w:r>
          </w:p>
          <w:p>
            <w:pPr>
              <w:pStyle w:val="TextBody"/>
              <w:ind w:left="650" w:hanging="430"/>
              <w:jc w:val="center"/>
              <w:rPr>
                <w:b/>
                <w:b/>
                <w:bCs w:val="false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ДЕПУТАТНЫРИН ХУРЫГ</w:t>
            </w:r>
          </w:p>
        </w:tc>
        <w:tc>
          <w:tcPr>
            <w:tcW w:w="2163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/>
            </w:pPr>
            <w:r>
              <w:rPr/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ЭСТО-АЛТАЙСКОЕ СЕЛЬСКОЕ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МУНИЦИПАЛЬНОЕ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ОБРАЗОВАНИЕ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359026, 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ИНН 0812900527, т. (84745) 98-2-41, </w:t>
            </w:r>
            <w:r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  <w:lang w:val="ru-RU"/>
              </w:rPr>
              <w:t>-</w:t>
            </w:r>
            <w:r>
              <w:rPr>
                <w:b/>
                <w:sz w:val="20"/>
                <w:szCs w:val="20"/>
              </w:rPr>
              <w:t>mail</w:t>
            </w:r>
            <w:r>
              <w:rPr>
                <w:b/>
                <w:sz w:val="20"/>
                <w:szCs w:val="20"/>
                <w:lang w:val="ru-RU"/>
              </w:rPr>
              <w:t xml:space="preserve">: </w:t>
            </w:r>
            <w:hyperlink r:id="rId3">
              <w:r>
                <w:rPr>
                  <w:rStyle w:val="InternetLink"/>
                  <w:b/>
                  <w:iCs/>
                  <w:color w:val="000000"/>
                  <w:sz w:val="20"/>
                  <w:szCs w:val="20"/>
                  <w:u w:val="none"/>
                </w:rPr>
                <w:t>Esto</w:t>
              </w:r>
              <w:r>
                <w:rPr>
                  <w:rStyle w:val="InternetLink"/>
                  <w:b/>
                  <w:iCs/>
                  <w:color w:val="000000"/>
                  <w:sz w:val="20"/>
                  <w:szCs w:val="20"/>
                  <w:u w:val="none"/>
                  <w:lang w:val="ru-RU"/>
                </w:rPr>
                <w:t>-</w:t>
              </w:r>
              <w:r>
                <w:rPr>
                  <w:rStyle w:val="InternetLink"/>
                  <w:b/>
                  <w:iCs/>
                  <w:color w:val="000000"/>
                  <w:sz w:val="20"/>
                  <w:szCs w:val="20"/>
                  <w:u w:val="none"/>
                </w:rPr>
                <w:t>Altay</w:t>
              </w:r>
              <w:r>
                <w:rPr>
                  <w:rStyle w:val="InternetLink"/>
                  <w:b/>
                  <w:iCs/>
                  <w:color w:val="000000"/>
                  <w:sz w:val="20"/>
                  <w:szCs w:val="20"/>
                  <w:u w:val="none"/>
                  <w:lang w:val="ru-RU"/>
                </w:rPr>
                <w:t xml:space="preserve">@ </w:t>
              </w:r>
              <w:r>
                <w:rPr>
                  <w:rStyle w:val="InternetLink"/>
                  <w:b/>
                  <w:iCs/>
                  <w:color w:val="000000"/>
                  <w:sz w:val="20"/>
                  <w:szCs w:val="20"/>
                  <w:u w:val="none"/>
                </w:rPr>
                <w:t>yandex</w:t>
              </w:r>
            </w:hyperlink>
            <w:hyperlink r:id="rId4">
              <w:r>
                <w:rPr>
                  <w:rStyle w:val="InternetLink"/>
                  <w:b/>
                  <w:iCs/>
                  <w:color w:val="000000"/>
                  <w:sz w:val="20"/>
                  <w:szCs w:val="20"/>
                  <w:u w:val="none"/>
                  <w:lang w:val="ru-RU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Cs/>
                  <w:color w:val="000000"/>
                  <w:sz w:val="20"/>
                  <w:szCs w:val="20"/>
                  <w:u w:val="none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rStyle w:val="Emphasis"/>
                <w:b/>
                <w:sz w:val="20"/>
                <w:szCs w:val="20"/>
                <w:lang w:val="ru-RU"/>
              </w:rPr>
              <w:t>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</w:r>
          </w:p>
        </w:tc>
      </w:tr>
    </w:tbl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eading1"/>
        <w:numPr>
          <w:ilvl w:val="0"/>
          <w:numId w:val="1"/>
        </w:numPr>
        <w:tabs>
          <w:tab w:val="left" w:pos="-23" w:leader="none"/>
        </w:tabs>
        <w:rPr>
          <w:sz w:val="24"/>
          <w:szCs w:val="28"/>
        </w:rPr>
      </w:pPr>
      <w:r>
        <w:rPr>
          <w:sz w:val="24"/>
          <w:szCs w:val="28"/>
        </w:rPr>
        <w:t>РЕШЕНИЕ</w:t>
      </w:r>
    </w:p>
    <w:p>
      <w:pPr>
        <w:pStyle w:val="Normal"/>
        <w:tabs>
          <w:tab w:val="left" w:pos="-23" w:leader="none"/>
        </w:tabs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tabs>
          <w:tab w:val="left" w:pos="-23" w:leader="none"/>
        </w:tabs>
        <w:rPr>
          <w:b/>
          <w:b/>
          <w:bCs/>
        </w:rPr>
      </w:pPr>
      <w:r>
        <w:rPr/>
        <w:t xml:space="preserve">от </w:t>
      </w:r>
      <w:r>
        <w:rPr>
          <w:lang w:val="ru-RU"/>
        </w:rPr>
        <w:t xml:space="preserve">«21» ноября </w:t>
      </w:r>
      <w:r>
        <w:rPr/>
        <w:t>201</w:t>
      </w:r>
      <w:r>
        <w:rPr>
          <w:lang w:val="ru-RU"/>
        </w:rPr>
        <w:t>3</w:t>
      </w:r>
      <w:r>
        <w:rPr/>
        <w:t xml:space="preserve"> г.         </w:t>
      </w:r>
      <w:r>
        <w:rPr>
          <w:lang w:val="ru-RU"/>
        </w:rPr>
        <w:t xml:space="preserve">            </w:t>
      </w:r>
      <w:r>
        <w:rPr/>
        <w:t xml:space="preserve">      </w:t>
      </w:r>
      <w:r>
        <w:rPr>
          <w:lang w:val="ru-RU"/>
        </w:rPr>
        <w:t xml:space="preserve">        </w:t>
      </w:r>
      <w:r>
        <w:rPr/>
        <w:t>№</w:t>
      </w:r>
      <w:r>
        <w:rPr>
          <w:lang w:val="ru-RU"/>
        </w:rPr>
        <w:t xml:space="preserve"> 22  </w:t>
      </w:r>
      <w:r>
        <w:rPr/>
        <w:t xml:space="preserve">                  </w:t>
      </w:r>
      <w:r>
        <w:rPr>
          <w:lang w:val="ru-RU"/>
        </w:rPr>
        <w:t xml:space="preserve">              </w:t>
      </w:r>
      <w:r>
        <w:rPr/>
        <w:t xml:space="preserve">      с. Эсто-Алтай   </w:t>
      </w:r>
    </w:p>
    <w:p>
      <w:pPr>
        <w:pStyle w:val="Normal"/>
        <w:jc w:val="both"/>
        <w:rPr>
          <w:lang w:val="ru-RU"/>
        </w:rPr>
      </w:pPr>
      <w:r>
        <w:rPr>
          <w:b/>
          <w:lang w:val="ru-RU"/>
        </w:rPr>
        <w:t xml:space="preserve">                              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            </w:t>
      </w:r>
    </w:p>
    <w:p>
      <w:pPr>
        <w:pStyle w:val="Normal"/>
        <w:rPr/>
      </w:pPr>
      <w:r>
        <w:rPr>
          <w:b/>
          <w:lang w:val="ru-RU"/>
        </w:rPr>
        <w:t xml:space="preserve">О земельном налоге на территории       </w:t>
      </w:r>
    </w:p>
    <w:p>
      <w:pPr>
        <w:pStyle w:val="Heading3"/>
        <w:numPr>
          <w:ilvl w:val="2"/>
          <w:numId w:val="1"/>
        </w:numPr>
        <w:rPr/>
      </w:pPr>
      <w:r>
        <w:rPr/>
        <w:t xml:space="preserve">Эсто-Алтайского сельского муниципального  </w:t>
      </w:r>
    </w:p>
    <w:p>
      <w:pPr>
        <w:pStyle w:val="Heading3"/>
        <w:numPr>
          <w:ilvl w:val="2"/>
          <w:numId w:val="1"/>
        </w:numPr>
        <w:rPr/>
      </w:pPr>
      <w:r>
        <w:rPr/>
        <w:t xml:space="preserve">образования Республики Калмыкия                                                                                      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</w:t>
      </w:r>
    </w:p>
    <w:p>
      <w:pPr>
        <w:pStyle w:val="Normal"/>
        <w:ind w:firstLine="540"/>
        <w:jc w:val="both"/>
        <w:rPr/>
      </w:pPr>
      <w:r>
        <w:rPr>
          <w:bCs/>
          <w:lang w:val="ru-RU"/>
        </w:rPr>
        <w:t xml:space="preserve">В соответствии с Главой 31 Налогового кодекса Российской Федерации, Федерального закона от 27 июля 2010 года № 229-ФЗ « О внесении изменений в часть первую и часть вторую Налогового кодекса Российской Федерации, а также о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иных вопросов налогового администрирования», Уставом </w:t>
      </w:r>
      <w:r>
        <w:rPr>
          <w:lang w:val="ru-RU"/>
        </w:rPr>
        <w:t xml:space="preserve">Эсто-Алтайского сельского муниципального образования Республики Калмыкия, Собрание депутатов Эсто-Алтайского сельского муниципального образования Республики Калмыкия, </w:t>
      </w:r>
      <w:r>
        <w:rPr>
          <w:b/>
          <w:bCs/>
          <w:lang w:val="ru-RU"/>
        </w:rPr>
        <w:t>решило</w:t>
      </w:r>
      <w:r>
        <w:rPr>
          <w:lang w:val="ru-RU"/>
        </w:rPr>
        <w:t xml:space="preserve">: </w:t>
      </w:r>
    </w:p>
    <w:p>
      <w:pPr>
        <w:pStyle w:val="2"/>
        <w:rPr>
          <w:bCs/>
        </w:rPr>
      </w:pPr>
      <w:r>
        <w:rPr/>
        <w:t>1.Утвердить решение Собрания депутатов Эсто-Алтайского сельского муниципального  образования Республики Калмыкия «О земельном налоге на территории Эсто-Алтайского сельского муниципального образования Республики Калмыкия».</w:t>
      </w:r>
    </w:p>
    <w:p>
      <w:pPr>
        <w:pStyle w:val="Normal"/>
        <w:ind w:firstLine="720"/>
        <w:jc w:val="both"/>
        <w:rPr>
          <w:b/>
          <w:b/>
          <w:lang w:val="ru-RU"/>
        </w:rPr>
      </w:pPr>
      <w:r>
        <w:rPr>
          <w:b/>
          <w:lang w:val="ru-RU"/>
        </w:rPr>
        <w:t xml:space="preserve">        </w:t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  <w:t xml:space="preserve">      </w:t>
      </w:r>
      <w:r>
        <w:rPr>
          <w:b/>
          <w:lang w:val="ru-RU"/>
        </w:rPr>
        <w:t xml:space="preserve">1.Общие  положения </w:t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  <w:t xml:space="preserve">                    </w:t>
      </w:r>
    </w:p>
    <w:p>
      <w:pPr>
        <w:pStyle w:val="Normal"/>
        <w:jc w:val="both"/>
        <w:rPr/>
      </w:pPr>
      <w:r>
        <w:rPr>
          <w:b/>
          <w:lang w:val="ru-RU"/>
        </w:rPr>
        <w:t xml:space="preserve">      </w:t>
      </w:r>
      <w:r>
        <w:rPr>
          <w:lang w:val="ru-RU"/>
        </w:rPr>
        <w:t>1.1.Настоящее Решение Эсто-Алтайского сельского муниципального  образования Республики Калмыкия  в  соответствии  с Налоговым  кодексом  Российской Федерации  устанавливает  земельный  налог (далее - налог) на территории  Эсто-Алтайского сельского   муниципального образования Республики Калмыкия,  определяет  налоговые  ставки, порядок и сроки уплаты  налога.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>1.2. Общие  принципы, на основании  которых определяются налогоплательщики налога, объекты  налогообложения, налоговая  база, налоговый  период, налоговые  льготы, порядок исчисления и уплаты налога   устанавливаются Налоговым кодексом Российской Федерации.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  <w:t xml:space="preserve">     </w:t>
      </w:r>
      <w:r>
        <w:rPr>
          <w:b/>
          <w:lang w:val="ru-RU"/>
        </w:rPr>
        <w:t>2. Налоговый период. Отчетный период.</w:t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Cs/>
          <w:lang w:val="ru-RU"/>
        </w:rPr>
      </w:pPr>
      <w:r>
        <w:rPr>
          <w:bCs/>
          <w:lang w:val="ru-RU"/>
        </w:rPr>
        <w:t xml:space="preserve">     </w:t>
      </w:r>
      <w:r>
        <w:rPr>
          <w:bCs/>
          <w:lang w:val="ru-RU"/>
        </w:rPr>
        <w:t>2.1.Налоговым периодом признается календарный год.</w:t>
      </w:r>
    </w:p>
    <w:p>
      <w:pPr>
        <w:pStyle w:val="TextBody"/>
        <w:rPr>
          <w:b/>
          <w:b/>
        </w:rPr>
      </w:pPr>
      <w:r>
        <w:rPr/>
        <w:t xml:space="preserve">     </w:t>
      </w:r>
      <w:r>
        <w:rPr/>
        <w:t>2.2.Отчетными периодами для налогоплательщиков-организаций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  <w:t xml:space="preserve">   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ind w:left="540" w:hanging="180"/>
        <w:jc w:val="both"/>
        <w:rPr>
          <w:b/>
          <w:b/>
          <w:lang w:val="ru-RU"/>
        </w:rPr>
      </w:pPr>
      <w:r>
        <w:rPr>
          <w:b/>
          <w:lang w:val="ru-RU"/>
        </w:rPr>
        <w:t xml:space="preserve"> </w:t>
      </w:r>
      <w:r>
        <w:rPr>
          <w:b/>
          <w:lang w:val="ru-RU"/>
        </w:rPr>
        <w:t>Налоговая  ставка.</w:t>
      </w:r>
    </w:p>
    <w:p>
      <w:pPr>
        <w:pStyle w:val="Normal"/>
        <w:tabs>
          <w:tab w:val="left" w:pos="360" w:leader="none"/>
        </w:tabs>
        <w:ind w:left="360" w:hanging="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tabs>
          <w:tab w:val="left" w:pos="360" w:leader="none"/>
        </w:tabs>
        <w:ind w:left="180" w:hanging="0"/>
        <w:jc w:val="both"/>
        <w:rPr>
          <w:bCs/>
          <w:lang w:val="ru-RU"/>
        </w:rPr>
      </w:pPr>
      <w:r>
        <w:rPr>
          <w:bCs/>
          <w:lang w:val="ru-RU"/>
        </w:rPr>
        <w:t xml:space="preserve">   </w:t>
      </w:r>
      <w:r>
        <w:rPr>
          <w:bCs/>
          <w:lang w:val="ru-RU"/>
        </w:rPr>
        <w:t>Налоговые  ставки устанавливаются в следующих  размерах:</w:t>
      </w:r>
    </w:p>
    <w:p>
      <w:pPr>
        <w:pStyle w:val="Normal"/>
        <w:tabs>
          <w:tab w:val="left" w:pos="360" w:leader="none"/>
        </w:tabs>
        <w:jc w:val="both"/>
        <w:rPr/>
      </w:pPr>
      <w:r>
        <w:rPr>
          <w:lang w:val="ru-RU"/>
        </w:rPr>
        <w:t xml:space="preserve">      </w:t>
      </w:r>
      <w:r>
        <w:rPr>
          <w:lang w:val="ru-RU"/>
        </w:rPr>
        <w:t xml:space="preserve">3.1. </w:t>
      </w:r>
      <w:r>
        <w:rPr>
          <w:b/>
          <w:lang w:val="ru-RU"/>
        </w:rPr>
        <w:t>0,2 процента</w:t>
      </w:r>
      <w:r>
        <w:rPr>
          <w:lang w:val="ru-RU"/>
        </w:rPr>
        <w:t xml:space="preserve"> -    в отношении земельных участков отнесенных  к землям  сельскохозяйственного  назначения или  к  землям  в составе зон  сельскохозяйственного использования в поселениях и используемых для  сельскохозяйственного  производства.</w:t>
      </w:r>
    </w:p>
    <w:p>
      <w:pPr>
        <w:pStyle w:val="Normal"/>
        <w:jc w:val="both"/>
        <w:rPr/>
      </w:pPr>
      <w:r>
        <w:rPr>
          <w:lang w:val="ru-RU"/>
        </w:rPr>
        <w:t xml:space="preserve">      </w:t>
      </w:r>
      <w:r>
        <w:rPr>
          <w:lang w:val="ru-RU"/>
        </w:rPr>
        <w:t xml:space="preserve">3.2.  </w:t>
      </w:r>
      <w:r>
        <w:rPr>
          <w:b/>
          <w:lang w:val="ru-RU"/>
        </w:rPr>
        <w:t>0,1 процента</w:t>
      </w:r>
      <w:r>
        <w:rPr>
          <w:lang w:val="ru-RU"/>
        </w:rPr>
        <w:t xml:space="preserve">  -   в отношении земельных участков, занятых жилищным  фондом и объектами  инженерной  инфраструктуры жилищно-коммунального комплекса (за исключением   доли   в   праве   на    земельный    участок,   приходящийся   на   объект, не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относящийся к жилищному  фонду и к объектам инженерной инфраструктуры жилищно-коммунального  комплекса) или  представленных  для жилищного  строительства.    </w:t>
      </w:r>
    </w:p>
    <w:p>
      <w:pPr>
        <w:pStyle w:val="Normal"/>
        <w:jc w:val="both"/>
        <w:rPr/>
      </w:pPr>
      <w:r>
        <w:rPr>
          <w:lang w:val="ru-RU"/>
        </w:rPr>
        <w:t xml:space="preserve">       </w:t>
      </w:r>
      <w:r>
        <w:rPr>
          <w:lang w:val="ru-RU"/>
        </w:rPr>
        <w:t xml:space="preserve">3.3.  </w:t>
      </w:r>
      <w:r>
        <w:rPr>
          <w:b/>
          <w:lang w:val="ru-RU"/>
        </w:rPr>
        <w:t>0,1 процента</w:t>
      </w:r>
      <w:r>
        <w:rPr>
          <w:lang w:val="ru-RU"/>
        </w:rPr>
        <w:t xml:space="preserve">    -  в отношении земельных  участков, предоставленных  для  личного подсобного хозяйства, садоводства, огородничества или животноводства.</w:t>
      </w:r>
      <w:r>
        <w:rPr>
          <w:b/>
          <w:lang w:val="ru-RU"/>
        </w:rPr>
        <w:t xml:space="preserve">                                                                              </w:t>
      </w:r>
    </w:p>
    <w:p>
      <w:pPr>
        <w:pStyle w:val="Normal"/>
        <w:tabs>
          <w:tab w:val="left" w:pos="360" w:leader="none"/>
        </w:tabs>
        <w:jc w:val="both"/>
        <w:rPr/>
      </w:pPr>
      <w:r>
        <w:rPr>
          <w:b/>
          <w:lang w:val="ru-RU"/>
        </w:rPr>
        <w:t xml:space="preserve">       </w:t>
      </w:r>
      <w:r>
        <w:rPr>
          <w:lang w:val="ru-RU"/>
        </w:rPr>
        <w:t>3.4</w:t>
      </w:r>
      <w:r>
        <w:rPr>
          <w:b/>
          <w:lang w:val="ru-RU"/>
        </w:rPr>
        <w:t xml:space="preserve">.   0,3 процента  -     </w:t>
      </w:r>
      <w:r>
        <w:rPr>
          <w:lang w:val="ru-RU"/>
        </w:rPr>
        <w:t xml:space="preserve">в отношении   прочих   земельных  участков.  </w:t>
      </w:r>
    </w:p>
    <w:p>
      <w:pPr>
        <w:pStyle w:val="Normal"/>
        <w:tabs>
          <w:tab w:val="left" w:pos="360" w:leader="none"/>
        </w:tabs>
        <w:jc w:val="both"/>
        <w:rPr>
          <w:lang w:val="ru-RU"/>
        </w:rPr>
      </w:pPr>
      <w:r>
        <w:rPr>
          <w:lang w:val="ru-RU"/>
        </w:rPr>
        <w:t xml:space="preserve">   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ind w:left="540" w:hanging="180"/>
        <w:jc w:val="both"/>
        <w:rPr>
          <w:b/>
          <w:b/>
          <w:lang w:val="ru-RU"/>
        </w:rPr>
      </w:pPr>
      <w:r>
        <w:rPr>
          <w:b/>
          <w:lang w:val="ru-RU"/>
        </w:rPr>
        <w:t>Порядок  и сроки  уплаты  налога и авансовых платежей по налогу.</w:t>
      </w:r>
    </w:p>
    <w:p>
      <w:pPr>
        <w:pStyle w:val="Normal"/>
        <w:ind w:left="180" w:hanging="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Cs/>
          <w:lang w:val="ru-RU"/>
        </w:rPr>
      </w:pPr>
      <w:r>
        <w:rPr>
          <w:bCs/>
          <w:lang w:val="ru-RU"/>
        </w:rPr>
        <w:t xml:space="preserve">      </w:t>
      </w:r>
      <w:r>
        <w:rPr>
          <w:bCs/>
          <w:lang w:val="ru-RU"/>
        </w:rPr>
        <w:t>4.1. Налогоплательщиками - организациями и физическими лицами, являющимися индивидуальными предпринимателями, авансовые платежи по земельному налогу уплачиваются в следующие сроки:</w:t>
      </w:r>
    </w:p>
    <w:p>
      <w:pPr>
        <w:pStyle w:val="Normal"/>
        <w:numPr>
          <w:ilvl w:val="0"/>
          <w:numId w:val="3"/>
        </w:numPr>
        <w:jc w:val="both"/>
        <w:rPr>
          <w:bCs/>
          <w:lang w:val="ru-RU"/>
        </w:rPr>
      </w:pPr>
      <w:r>
        <w:rPr>
          <w:bCs/>
          <w:lang w:val="ru-RU"/>
        </w:rPr>
        <w:t>за первый квартал календарного года- до 30 апреля;</w:t>
      </w:r>
    </w:p>
    <w:p>
      <w:pPr>
        <w:pStyle w:val="Normal"/>
        <w:numPr>
          <w:ilvl w:val="0"/>
          <w:numId w:val="3"/>
        </w:numPr>
        <w:jc w:val="both"/>
        <w:rPr>
          <w:bCs/>
          <w:lang w:val="ru-RU"/>
        </w:rPr>
      </w:pPr>
      <w:r>
        <w:rPr>
          <w:bCs/>
          <w:lang w:val="ru-RU"/>
        </w:rPr>
        <w:t>за второй квартал календарного года- до 31 июля;</w:t>
      </w:r>
    </w:p>
    <w:p>
      <w:pPr>
        <w:pStyle w:val="Normal"/>
        <w:numPr>
          <w:ilvl w:val="0"/>
          <w:numId w:val="3"/>
        </w:numPr>
        <w:jc w:val="both"/>
        <w:rPr>
          <w:bCs/>
          <w:lang w:val="ru-RU"/>
        </w:rPr>
      </w:pPr>
      <w:r>
        <w:rPr>
          <w:bCs/>
          <w:lang w:val="ru-RU"/>
        </w:rPr>
        <w:t>за третий квартал календарного года- до  31 октября</w:t>
      </w:r>
    </w:p>
    <w:p>
      <w:pPr>
        <w:pStyle w:val="Normal"/>
        <w:jc w:val="both"/>
        <w:rPr>
          <w:bCs/>
          <w:lang w:val="ru-RU"/>
        </w:rPr>
      </w:pPr>
      <w:r>
        <w:rPr>
          <w:bCs/>
          <w:lang w:val="ru-RU"/>
        </w:rPr>
        <w:t xml:space="preserve">      </w:t>
      </w:r>
      <w:r>
        <w:rPr>
          <w:bCs/>
          <w:lang w:val="ru-RU"/>
        </w:rPr>
        <w:t>4.2 Налогоплательщиками - организациями и физическими лицами, являющимися индивидуальными предпринимателями, сумма налога исчисляется (сумма авансовых платежей по налогу) самостоятельно в отношении земельных участков, используемых (предназначенных для использования) ими для предпринимательской деятельности и уплачивается   не позднее 1 февраля года, следуемого  за истекшим налоговым периодом.</w:t>
      </w:r>
    </w:p>
    <w:p>
      <w:pPr>
        <w:pStyle w:val="TextBodyIndent"/>
        <w:rPr/>
      </w:pPr>
      <w:r>
        <w:rPr/>
        <w:t>4.3. Налогоплательщиками физическими лицами  уплата налога производится не позднее 1 ноября года, следуемого за  годом, за который исчислен налог.</w:t>
      </w:r>
    </w:p>
    <w:p>
      <w:pPr>
        <w:pStyle w:val="Normal"/>
        <w:ind w:left="180" w:hanging="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/>
      </w:pPr>
      <w:r>
        <w:rPr>
          <w:bCs/>
          <w:lang w:val="ru-RU"/>
        </w:rPr>
        <w:t xml:space="preserve"> </w:t>
      </w:r>
      <w:r>
        <w:rPr>
          <w:b/>
          <w:lang w:val="ru-RU"/>
        </w:rPr>
        <w:t xml:space="preserve">     </w:t>
      </w:r>
      <w:r>
        <w:rPr>
          <w:b/>
          <w:lang w:val="ru-RU"/>
        </w:rPr>
        <w:t>5 . Дополнительные налоговые льготы к  Главе 31 НК РФ</w:t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Cs w:val="28"/>
          <w:lang w:val="ru-RU"/>
        </w:rPr>
        <w:t>5.1. Освободить от уплаты земельного налога муниципальные учреждения полностью финансируемые из бюджета Эсто-Алтайского сельского муниципального образования Республики Калмыкия и Яшалтинского районного муниципального образования Республики Калмыкия.</w:t>
      </w:r>
    </w:p>
    <w:p>
      <w:pPr>
        <w:pStyle w:val="Normal"/>
        <w:ind w:left="360" w:hanging="0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  <w:t xml:space="preserve">     </w:t>
      </w:r>
      <w:r>
        <w:rPr>
          <w:bCs/>
          <w:lang w:val="ru-RU"/>
        </w:rPr>
        <w:t>6</w:t>
      </w:r>
      <w:r>
        <w:rPr>
          <w:lang w:val="ru-RU"/>
        </w:rPr>
        <w:t xml:space="preserve">. Настоящее решение вступает  в силу  с 01 января 2014 года, но не раннее  чем  по истечении одного  месяца  со дня  его официального опубликования (обнародования) в районной газете «Зори Маныча» и не раннее числа установленного  налогового периода. </w:t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both"/>
        <w:rPr/>
      </w:pPr>
      <w:r>
        <w:rPr>
          <w:lang w:val="ru-RU"/>
        </w:rPr>
        <w:t>Глава Эсто-Алтайского сельского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муниципального образования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Республики Калмыкия                                                                                          Гамзаев Ш.А.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b/>
          <w:b/>
          <w:lang w:val="ru-RU"/>
        </w:rPr>
      </w:pPr>
      <w:r>
        <w:rPr>
          <w:b/>
          <w:lang w:val="ru-RU"/>
        </w:rPr>
      </w:r>
    </w:p>
    <w:sectPr>
      <w:type w:val="nextPage"/>
      <w:pgSz w:w="11906" w:h="16838"/>
      <w:pgMar w:left="1800" w:right="746" w:header="0" w:top="360" w:footer="0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540" w:hanging="360"/>
      </w:pPr>
      <w:rPr/>
    </w:lvl>
  </w:abstractNum>
  <w:abstractNum w:abstractNumId="3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d-ID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  <w:lang w:val="ru-RU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b/>
      <w:lang w:val="ru-RU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Style11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1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tabs>
        <w:tab w:val="left" w:pos="360" w:leader="none"/>
      </w:tabs>
      <w:jc w:val="both"/>
    </w:pPr>
    <w:rPr>
      <w:bCs/>
      <w:lang w:val="ru-RU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firstLine="420"/>
      <w:jc w:val="both"/>
    </w:pPr>
    <w:rPr>
      <w:bCs/>
      <w:lang w:val="ru-RU"/>
    </w:rPr>
  </w:style>
  <w:style w:type="paragraph" w:styleId="2">
    <w:name w:val="Основной текст с отступом 2"/>
    <w:basedOn w:val="Normal"/>
    <w:qFormat/>
    <w:pPr>
      <w:ind w:firstLine="540"/>
      <w:jc w:val="both"/>
    </w:pPr>
    <w:rPr>
      <w:lang w:val="ru-RU"/>
    </w:rPr>
  </w:style>
  <w:style w:type="paragraph" w:styleId="3">
    <w:name w:val="Основной текст 3"/>
    <w:basedOn w:val="Normal"/>
    <w:qFormat/>
    <w:pPr>
      <w:tabs>
        <w:tab w:val="left" w:pos="-23" w:leader="none"/>
      </w:tabs>
      <w:jc w:val="both"/>
    </w:pPr>
    <w:rPr>
      <w:sz w:val="28"/>
      <w:lang w:val="ru-RU"/>
    </w:rPr>
  </w:style>
  <w:style w:type="paragraph" w:styleId="31">
    <w:name w:val="Основной текст с отступом 3"/>
    <w:basedOn w:val="Normal"/>
    <w:qFormat/>
    <w:pPr>
      <w:ind w:firstLine="540"/>
      <w:jc w:val="both"/>
    </w:pPr>
    <w:rPr>
      <w:b/>
      <w:bCs/>
      <w:lang w:val="ru-RU"/>
    </w:rPr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2006-12-13T17:29:00Z</dcterms:created>
  <dc:creator>FORMOZA</dc:creator>
  <dc:description/>
  <cp:keywords/>
  <dc:language>en-US</dc:language>
  <cp:lastModifiedBy>Владелец</cp:lastModifiedBy>
  <cp:lastPrinted>2013-11-22T09:37:00Z</cp:lastPrinted>
  <dcterms:modified xsi:type="dcterms:W3CDTF">2013-11-22T09:37:00Z</dcterms:modified>
  <cp:revision>65</cp:revision>
  <dc:subject/>
  <dc:title>                                 Соленовское сельское  муниципальное  образование </dc:title>
</cp:coreProperties>
</file>