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80" w:type="dxa"/>
        <w:jc w:val="left"/>
        <w:tblInd w:w="-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027"/>
        <w:gridCol w:w="2163"/>
        <w:gridCol w:w="3890"/>
      </w:tblGrid>
      <w:tr>
        <w:trPr/>
        <w:tc>
          <w:tcPr>
            <w:tcW w:w="40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650" w:hanging="43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 xml:space="preserve">                </w:t>
            </w:r>
          </w:p>
          <w:p>
            <w:pPr>
              <w:pStyle w:val="TextBody"/>
              <w:spacing w:before="0" w:after="0"/>
              <w:ind w:left="650" w:hanging="430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ХАЛЬМГ ТАН</w:t>
            </w:r>
            <w:r>
              <w:rPr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b/>
                <w:bCs/>
                <w:sz w:val="20"/>
                <w:szCs w:val="20"/>
              </w:rPr>
              <w:t>ЧИН</w:t>
            </w:r>
          </w:p>
          <w:p>
            <w:pPr>
              <w:pStyle w:val="TextBody"/>
              <w:spacing w:before="0" w:after="0"/>
              <w:ind w:left="650"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ЭСТО-АЛТАЙСК СЕЛƏНƏ</w:t>
            </w:r>
          </w:p>
          <w:p>
            <w:pPr>
              <w:pStyle w:val="TextBody"/>
              <w:spacing w:before="0" w:after="0"/>
              <w:ind w:left="650" w:hanging="430"/>
              <w:jc w:val="center"/>
              <w:rPr/>
            </w:pPr>
            <w:r>
              <w:rPr>
                <w:b/>
                <w:sz w:val="20"/>
                <w:szCs w:val="20"/>
              </w:rPr>
              <w:t>МУНИЦИПАЛЬН Б</w:t>
            </w:r>
            <w:r>
              <w:rPr>
                <w:b/>
                <w:sz w:val="20"/>
                <w:szCs w:val="20"/>
                <w:lang w:val="en-US"/>
              </w:rPr>
              <w:t>Y</w:t>
            </w:r>
            <w:r>
              <w:rPr>
                <w:b/>
                <w:sz w:val="20"/>
                <w:szCs w:val="20"/>
              </w:rPr>
              <w:t>РДЭЦИИН</w:t>
            </w:r>
          </w:p>
          <w:p>
            <w:pPr>
              <w:pStyle w:val="TextBody"/>
              <w:spacing w:before="0" w:after="0"/>
              <w:ind w:left="650"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ДЕПУТАТНЫРИН ХУРЫГ</w:t>
            </w:r>
          </w:p>
        </w:tc>
        <w:tc>
          <w:tcPr>
            <w:tcW w:w="2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4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drawing>
                <wp:inline distT="0" distB="0" distL="0" distR="0">
                  <wp:extent cx="819785" cy="87503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spacing w:lineRule="auto" w:line="240" w:before="0" w:after="0"/>
              <w:ind w:hanging="43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tabs>
                <w:tab w:val="left" w:pos="2623" w:leader="none"/>
              </w:tabs>
              <w:spacing w:lineRule="auto" w:line="240" w:before="0" w:after="0"/>
              <w:ind w:hanging="43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ЭСТО-АЛТАЙСКОЕ СЕЛЬСКОЕ</w:t>
            </w:r>
          </w:p>
          <w:p>
            <w:pPr>
              <w:pStyle w:val="Normal"/>
              <w:tabs>
                <w:tab w:val="left" w:pos="2623" w:leader="none"/>
              </w:tabs>
              <w:spacing w:lineRule="auto" w:line="240" w:before="0" w:after="0"/>
              <w:ind w:hanging="43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МУНИЦИПАЛЬНОЕ</w:t>
            </w:r>
          </w:p>
          <w:p>
            <w:pPr>
              <w:pStyle w:val="Normal"/>
              <w:tabs>
                <w:tab w:val="left" w:pos="2623" w:leader="none"/>
              </w:tabs>
              <w:spacing w:lineRule="auto" w:line="240" w:before="0" w:after="0"/>
              <w:ind w:hanging="43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  <w:p>
            <w:pPr>
              <w:pStyle w:val="Normal"/>
              <w:tabs>
                <w:tab w:val="left" w:pos="2623" w:leader="none"/>
              </w:tabs>
              <w:spacing w:lineRule="auto" w:line="240" w:before="0" w:after="0"/>
              <w:ind w:hanging="43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РЕСПУБЛИКИ КАЛМЫКИЯ</w:t>
            </w:r>
          </w:p>
          <w:p>
            <w:pPr>
              <w:pStyle w:val="Normal"/>
              <w:tabs>
                <w:tab w:val="left" w:pos="2623" w:leader="none"/>
              </w:tabs>
              <w:spacing w:lineRule="auto" w:line="240" w:before="0" w:after="0"/>
              <w:ind w:hanging="43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СОБРАНИЕ ДЕПУТАТОВ</w:t>
            </w:r>
          </w:p>
        </w:tc>
      </w:tr>
      <w:tr>
        <w:trPr/>
        <w:tc>
          <w:tcPr>
            <w:tcW w:w="1008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pacing w:lineRule="auto" w:line="240" w:before="0" w:after="0"/>
              <w:ind w:left="650" w:hanging="43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                                                           </w:t>
            </w:r>
          </w:p>
          <w:p>
            <w:pPr>
              <w:pStyle w:val="Normal"/>
              <w:tabs>
                <w:tab w:val="left" w:pos="262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359026, Республика Калмыкия, с. Эсто-Алтай, ул. Карла Маркса</w:t>
            </w:r>
          </w:p>
          <w:p>
            <w:pPr>
              <w:pStyle w:val="Normal"/>
              <w:tabs>
                <w:tab w:val="left" w:pos="2623" w:leader="none"/>
              </w:tabs>
              <w:spacing w:lineRule="auto" w:line="240" w:before="0" w:after="0"/>
              <w:jc w:val="center"/>
              <w:rPr>
                <w:rStyle w:val="Emphasis"/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ИНН 0812900527, т. (84745) 98-2-41, e-mail: </w:t>
            </w:r>
            <w:hyperlink r:id="rId3">
              <w:r>
                <w:rPr>
                  <w:rStyle w:val="InternetLink"/>
                  <w:rFonts w:cs="Times New Roman" w:ascii="Times New Roman" w:hAnsi="Times New Roman"/>
                  <w:b/>
                  <w:i/>
                  <w:iCs/>
                  <w:sz w:val="20"/>
                  <w:szCs w:val="20"/>
                </w:rPr>
                <w:t>Esto-Altay@ yandex</w:t>
              </w:r>
            </w:hyperlink>
            <w:hyperlink r:id="rId4">
              <w:r>
                <w:rPr>
                  <w:rStyle w:val="InternetLink"/>
                  <w:rFonts w:cs="Times New Roman" w:ascii="Times New Roman" w:hAnsi="Times New Roman"/>
                  <w:b/>
                  <w:i/>
                  <w:iCs/>
                  <w:sz w:val="20"/>
                  <w:szCs w:val="20"/>
                </w:rPr>
                <w:t>.</w:t>
              </w:r>
            </w:hyperlink>
            <w:hyperlink r:id="rId5">
              <w:r>
                <w:rPr>
                  <w:rStyle w:val="InternetLink"/>
                  <w:rFonts w:cs="Times New Roman" w:ascii="Times New Roman" w:hAnsi="Times New Roman"/>
                  <w:b/>
                  <w:i/>
                  <w:iCs/>
                  <w:sz w:val="20"/>
                  <w:szCs w:val="20"/>
                </w:rPr>
                <w:t>ru</w:t>
              </w:r>
            </w:hyperlink>
          </w:p>
          <w:p>
            <w:pPr>
              <w:pStyle w:val="Normal"/>
              <w:tabs>
                <w:tab w:val="left" w:pos="262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Style w:val="Emphasis"/>
                <w:rFonts w:cs="Times New Roman" w:ascii="Times New Roman" w:hAnsi="Times New Roman"/>
                <w:b/>
                <w:sz w:val="20"/>
                <w:szCs w:val="20"/>
              </w:rPr>
              <w:t>______________________________________________________________________________________________</w:t>
            </w:r>
          </w:p>
          <w:p>
            <w:pPr>
              <w:pStyle w:val="Normal"/>
              <w:tabs>
                <w:tab w:val="left" w:pos="2623" w:leader="none"/>
              </w:tabs>
              <w:spacing w:lineRule="auto" w:line="240" w:before="0" w:after="0"/>
              <w:ind w:left="650" w:hanging="43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</w:tbl>
    <w:p>
      <w:pPr>
        <w:pStyle w:val="ConsTitle"/>
        <w:widowControl/>
        <w:tabs>
          <w:tab w:val="left" w:pos="-23" w:leader="none"/>
        </w:tabs>
        <w:ind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-23" w:leader="none"/>
        </w:tabs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РЕШЕНИЕ</w:t>
      </w:r>
    </w:p>
    <w:p>
      <w:pPr>
        <w:pStyle w:val="Normal"/>
        <w:tabs>
          <w:tab w:val="left" w:pos="-284" w:leader="none"/>
        </w:tabs>
        <w:ind w:left="-284" w:hanging="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от «03» декабря 2013 г.                         № 22 Б</w:t>
        <w:tab/>
        <w:tab/>
        <w:t xml:space="preserve">                    с. Эсто-Алтай</w:t>
      </w:r>
    </w:p>
    <w:p>
      <w:pPr>
        <w:pStyle w:val="Style1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«О создании муниципального дорожного фонда</w:t>
      </w:r>
    </w:p>
    <w:p>
      <w:pPr>
        <w:pStyle w:val="Style15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в Эсто-Алтайском сельском муниципальном образовании</w:t>
      </w:r>
    </w:p>
    <w:p>
      <w:pPr>
        <w:pStyle w:val="Style1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Республики Калмыкия»</w:t>
      </w:r>
    </w:p>
    <w:p>
      <w:pPr>
        <w:pStyle w:val="Style15"/>
        <w:jc w:val="both"/>
        <w:rPr/>
      </w:pPr>
      <w:r>
        <w:rPr>
          <w:rFonts w:eastAsia="Times New Roman" w:cs="Times New Roman" w:ascii="Times New Roman" w:hAnsi="Times New Roman"/>
          <w:color w:val="442E19"/>
          <w:sz w:val="24"/>
          <w:szCs w:val="24"/>
          <w:lang w:eastAsia="ru-RU"/>
        </w:rPr>
        <w:br/>
      </w:r>
      <w:r>
        <w:rPr>
          <w:rFonts w:eastAsia="Times New Roman" w:cs="Tahoma" w:ascii="Tahoma" w:hAnsi="Tahoma"/>
          <w:color w:val="442E19"/>
          <w:sz w:val="20"/>
          <w:szCs w:val="20"/>
          <w:lang w:eastAsia="ru-RU"/>
        </w:rPr>
        <w:br/>
      </w:r>
      <w:r>
        <w:rPr>
          <w:rFonts w:eastAsia="Times New Roman" w:cs="Times New Roman" w:ascii="Times New Roman" w:hAnsi="Times New Roman"/>
          <w:color w:val="442E19"/>
          <w:sz w:val="24"/>
          <w:szCs w:val="24"/>
          <w:lang w:eastAsia="ru-RU"/>
        </w:rPr>
        <w:t xml:space="preserve">       </w:t>
      </w:r>
      <w:r>
        <w:rPr>
          <w:rFonts w:eastAsia="Times New Roman" w:cs="Times New Roman" w:ascii="Times New Roman" w:hAnsi="Times New Roman"/>
          <w:color w:val="442E19"/>
          <w:sz w:val="28"/>
          <w:szCs w:val="28"/>
          <w:lang w:eastAsia="ru-RU"/>
        </w:rPr>
        <w:t xml:space="preserve">В целях финансового обеспечения дорожной деятельности в отношении автомобильных дорог общего пользования местного значения, капитального ремонта и ремонта проездов к дворовым территориям многоквартирных домов, в соответствии с пунктом 5 статьи 179.4 Бюджетного кодекса Российской Федерации, пунктом 5 части 1 статьи 14 (ст. 15) Федерального закона от 06.10.2003 .№ 131- ФЗ «Об общих принципах организации местного самоуправления в Российской Федерации», Постановлением Правительства Республики Калмыкия от 2 марта 2012 года № 49 « Об утверждении Порядка формирования и использования бюджетных ассигнований дорожного фонда Республики Калмыкия», руководствуясь  Уставом Эсто-Алтайского сельского муниципального образования  Республики Калмыкия, Собрание депутатов Эсто-Алтайского сельского муниципального образования Республики Калмыкия </w:t>
      </w:r>
    </w:p>
    <w:p>
      <w:pPr>
        <w:pStyle w:val="Style1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eastAsia="ru-RU"/>
        </w:rPr>
        <w:t>р е ш и л о :</w:t>
      </w:r>
    </w:p>
    <w:p>
      <w:pPr>
        <w:pStyle w:val="Style1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Style15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cs="Times New Roman" w:ascii="Times New Roman" w:hAnsi="Times New Roman"/>
          <w:sz w:val="28"/>
          <w:szCs w:val="28"/>
          <w:lang w:eastAsia="ru-RU"/>
        </w:rPr>
        <w:t>1.Создать муниципальный дорожный фонд в Эсто-Алтайском сельском муниципальном образовании Республики Калмыкия.</w:t>
      </w:r>
    </w:p>
    <w:p>
      <w:pPr>
        <w:pStyle w:val="Style15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cs="Times New Roman" w:ascii="Times New Roman" w:hAnsi="Times New Roman"/>
          <w:sz w:val="28"/>
          <w:szCs w:val="28"/>
          <w:lang w:eastAsia="ru-RU"/>
        </w:rPr>
        <w:t>2.Утвердить Положение о муниципальном дорожном фонде в Эсто-Алтайском сельском муниципальном образовании Республики Калмыкия  согласно приложению.</w:t>
      </w:r>
    </w:p>
    <w:p>
      <w:pPr>
        <w:pStyle w:val="Style15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cs="Times New Roman" w:ascii="Times New Roman" w:hAnsi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 (обнародования).</w:t>
      </w:r>
    </w:p>
    <w:p>
      <w:pPr>
        <w:pStyle w:val="Style15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br/>
        <w:br/>
      </w:r>
      <w:r>
        <w:rPr>
          <w:rFonts w:cs="Times New Roman" w:ascii="Times New Roman" w:hAnsi="Times New Roman"/>
          <w:sz w:val="28"/>
          <w:szCs w:val="28"/>
          <w:lang w:eastAsia="ru-RU"/>
        </w:rPr>
        <w:t>Глава Эсто-Алтайского сельского</w:t>
        <w:br/>
        <w:t>муниципального образования</w:t>
      </w:r>
    </w:p>
    <w:p>
      <w:pPr>
        <w:pStyle w:val="Style15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Республики  Калмыкия                                                            Гамзаев Ш.А.</w:t>
      </w:r>
    </w:p>
    <w:p>
      <w:pPr>
        <w:pStyle w:val="Style1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Style1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Style15"/>
        <w:jc w:val="right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 xml:space="preserve">Приложение </w:t>
      </w:r>
    </w:p>
    <w:p>
      <w:pPr>
        <w:pStyle w:val="Style15"/>
        <w:jc w:val="right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 xml:space="preserve">к решению Собрания депутатов </w:t>
      </w:r>
    </w:p>
    <w:p>
      <w:pPr>
        <w:pStyle w:val="Style15"/>
        <w:jc w:val="right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>Эсто-Алтайского сельского</w:t>
      </w:r>
    </w:p>
    <w:p>
      <w:pPr>
        <w:pStyle w:val="Style15"/>
        <w:jc w:val="right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 xml:space="preserve">муниципального образования </w:t>
      </w:r>
    </w:p>
    <w:p>
      <w:pPr>
        <w:pStyle w:val="Style15"/>
        <w:jc w:val="right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>Республики Калмыкия</w:t>
      </w:r>
    </w:p>
    <w:p>
      <w:pPr>
        <w:pStyle w:val="Style15"/>
        <w:jc w:val="right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>от 03 декабря 2013 года  №  22 Б</w:t>
      </w:r>
    </w:p>
    <w:p>
      <w:pPr>
        <w:pStyle w:val="Style15"/>
        <w:jc w:val="right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p>
      <w:pPr>
        <w:pStyle w:val="Style15"/>
        <w:jc w:val="right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p>
      <w:pPr>
        <w:pStyle w:val="Style1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Положение</w:t>
      </w:r>
    </w:p>
    <w:p>
      <w:pPr>
        <w:pStyle w:val="Style15"/>
        <w:jc w:val="center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о дорожном фонде  Эсто-Алтайского сельского муниципального образования</w:t>
      </w:r>
    </w:p>
    <w:p>
      <w:pPr>
        <w:pStyle w:val="Style1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Республики Калмыкия</w:t>
      </w:r>
    </w:p>
    <w:p>
      <w:pPr>
        <w:pStyle w:val="Style1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Style1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1.Общие положения </w:t>
      </w:r>
    </w:p>
    <w:p>
      <w:pPr>
        <w:pStyle w:val="Style1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Style1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E1E1E"/>
          <w:sz w:val="28"/>
          <w:szCs w:val="28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color w:val="1E1E1E"/>
          <w:sz w:val="28"/>
          <w:szCs w:val="28"/>
          <w:lang w:eastAsia="ru-RU"/>
        </w:rPr>
        <w:t xml:space="preserve">1.1. Положение о муниципальном дорожном фонде  Эсто-Алтайского сельского муниципального образования Республики Калмыкия (далее - Положение) разработано на основании пункта 5 статьи 179.4 Бюджетного кодекса Российской Федерации и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определяет правовые основы организации муниципального дорожного фонда Эсто-Алтайского сельского муниципального образования Республики Калмыкия. </w:t>
      </w:r>
    </w:p>
    <w:p>
      <w:pPr>
        <w:pStyle w:val="Style15"/>
        <w:tabs>
          <w:tab w:val="left" w:pos="426" w:leader="none"/>
        </w:tabs>
        <w:jc w:val="both"/>
        <w:rPr>
          <w:rFonts w:ascii="Times New Roman" w:hAnsi="Times New Roman" w:eastAsia="Times New Roman" w:cs="Times New Roman"/>
          <w:color w:val="1E1E1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E1E1E"/>
          <w:sz w:val="28"/>
          <w:szCs w:val="28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color w:val="1E1E1E"/>
          <w:sz w:val="28"/>
          <w:szCs w:val="28"/>
          <w:lang w:eastAsia="ru-RU"/>
        </w:rPr>
        <w:t xml:space="preserve">1.2. Муниципальный дорожный фонд </w:t>
      </w:r>
      <w:r>
        <w:rPr>
          <w:rFonts w:cs="Times New Roman" w:ascii="Times New Roman" w:hAnsi="Times New Roman"/>
          <w:sz w:val="28"/>
          <w:szCs w:val="28"/>
          <w:lang w:eastAsia="ru-RU"/>
        </w:rPr>
        <w:t>Эсто-Алтайского сельского муниципального образования  Республики Калмыкия</w:t>
      </w:r>
      <w:r>
        <w:rPr>
          <w:rFonts w:eastAsia="Times New Roman" w:cs="Times New Roman" w:ascii="Times New Roman" w:hAnsi="Times New Roman"/>
          <w:color w:val="1E1E1E"/>
          <w:sz w:val="28"/>
          <w:szCs w:val="28"/>
          <w:lang w:eastAsia="ru-RU"/>
        </w:rPr>
        <w:t xml:space="preserve"> (далее - дорожный фонд) -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 проездов к дворовым территориям многоквартирных домов Эсто-Алтайского сельского муниципального образования Республики Калмыкия.   </w:t>
        <w:br/>
        <w:t xml:space="preserve">      1.3. Средства дорожного фонда имеют целевое назначение и не подлежат изъятию или расходованию на нужды, не связанные с обеспечением дорожной деятельности. </w:t>
        <w:br/>
        <w:t xml:space="preserve">      1.4. Порядок формирования и использования бюджетных ассигнований дорожного фонда устанавливается настоящим решением.</w:t>
      </w:r>
    </w:p>
    <w:p>
      <w:pPr>
        <w:pStyle w:val="Normal"/>
        <w:spacing w:lineRule="auto" w:line="240" w:before="280" w:after="28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Порядок формирования дорожного фонда </w:t>
      </w:r>
    </w:p>
    <w:p>
      <w:pPr>
        <w:pStyle w:val="Style15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2.1 Доходы муниципального дорожного фонда формируются за счет: </w:t>
      </w:r>
    </w:p>
    <w:p>
      <w:pPr>
        <w:pStyle w:val="Style15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а) остатка средств фонда на 1 января очередного финансового года (за исключением года создания дорожного фонда); </w:t>
      </w:r>
    </w:p>
    <w:p>
      <w:pPr>
        <w:pStyle w:val="Style15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б) субсидий,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 </w:t>
      </w:r>
    </w:p>
    <w:p>
      <w:pPr>
        <w:pStyle w:val="Style15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в) безвозмездных поступлений от физических и юридических лиц на финансовое обеспечение дорожной деятельности, в том числе, добровольных пожертвований; </w:t>
      </w:r>
    </w:p>
    <w:p>
      <w:pPr>
        <w:pStyle w:val="Style15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г) 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 </w:t>
      </w:r>
    </w:p>
    <w:p>
      <w:pPr>
        <w:pStyle w:val="Style15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д) эксплуатации и использования имущества автомобильных дорог общего пользования местного значения; </w:t>
      </w:r>
    </w:p>
    <w:p>
      <w:pPr>
        <w:pStyle w:val="Style15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е) платы за оказание услуг по присоединению объектов дорожного сервиса к автомобильным дорогам общего пользования местного значения </w:t>
      </w:r>
    </w:p>
    <w:p>
      <w:pPr>
        <w:pStyle w:val="Style15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2.2 Объем бюджетных ассигнований муниципального дорожного фонда утверждается решением Собрания  депутатов Эсто-Алтайского сельского муниципального образования Республики Калмыкия о бюджете на очередной финансовый год и плановый период в размере не менее прогнозируемого объема установленных настоящим положением доходов местного бюджета. </w:t>
      </w:r>
    </w:p>
    <w:p>
      <w:pPr>
        <w:pStyle w:val="Style1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Объем бюджетных ассигнований муниципального дорожного фонда подлежит корректировке в текущем финансовом году на разницу между фактически поступившим и прогнозировавшимся при его формировании объемом указанных в пункте 2.1 настоящего положения доходов местного бюджета. </w:t>
      </w:r>
    </w:p>
    <w:p>
      <w:pPr>
        <w:pStyle w:val="Style15"/>
        <w:jc w:val="both"/>
        <w:rPr>
          <w:rFonts w:ascii="Times New Roman" w:hAnsi="Times New Roman" w:eastAsia="Times New Roman" w:cs="Times New Roman"/>
          <w:color w:val="1E1E1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E1E1E"/>
          <w:sz w:val="28"/>
          <w:szCs w:val="28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color w:val="1E1E1E"/>
          <w:sz w:val="28"/>
          <w:szCs w:val="28"/>
          <w:lang w:eastAsia="ru-RU"/>
        </w:rPr>
        <w:t xml:space="preserve">2.3.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 кроме подпункта б) пункта 2.1. </w:t>
      </w:r>
    </w:p>
    <w:p>
      <w:pPr>
        <w:pStyle w:val="Style15"/>
        <w:jc w:val="both"/>
        <w:rPr>
          <w:rFonts w:ascii="Times New Roman" w:hAnsi="Times New Roman" w:eastAsia="Times New Roman" w:cs="Times New Roman"/>
          <w:color w:val="1E1E1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E1E1E"/>
          <w:sz w:val="28"/>
          <w:szCs w:val="28"/>
          <w:lang w:eastAsia="ru-RU"/>
        </w:rPr>
      </w:r>
    </w:p>
    <w:p>
      <w:pPr>
        <w:pStyle w:val="Style1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3. Направления расходования средств муниципального дорожного фонда</w:t>
      </w:r>
    </w:p>
    <w:p>
      <w:pPr>
        <w:pStyle w:val="Style15"/>
        <w:tabs>
          <w:tab w:val="left" w:pos="426" w:leader="none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lang w:eastAsia="ru-RU"/>
        </w:rPr>
        <w:br/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   3.1. Средства муниципального дорожного фонда направляются на финансовое обеспечение дорожной деятельности в отношении автомобильных дорог общего пользования местного значения в соответствии с бюджетной сметой на соответствующий финансовый год или муниципальными целевыми программами в области дорожного хозяйства по следующим основным целевым направлениям на : </w:t>
      </w:r>
    </w:p>
    <w:p>
      <w:pPr>
        <w:pStyle w:val="Style1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</w:t>
      </w:r>
      <w:r>
        <w:rPr>
          <w:rFonts w:cs="Times New Roman" w:ascii="Times New Roman" w:hAnsi="Times New Roman"/>
          <w:sz w:val="28"/>
          <w:szCs w:val="28"/>
          <w:lang w:eastAsia="ru-RU"/>
        </w:rPr>
        <w:t>1)  содержание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них, относящихся к муниципальной собственности;</w:t>
      </w:r>
    </w:p>
    <w:p>
      <w:pPr>
        <w:pStyle w:val="Style1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2) проектирование, строительство (реконструкцию) и капитальный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них; </w:t>
      </w:r>
    </w:p>
    <w:p>
      <w:pPr>
        <w:pStyle w:val="Style1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cs="Times New Roman" w:ascii="Times New Roman" w:hAnsi="Times New Roman"/>
          <w:sz w:val="28"/>
          <w:szCs w:val="28"/>
          <w:lang w:eastAsia="ru-RU"/>
        </w:rPr>
        <w:t>3) капитальный ремонт и ремонт  проездов к дворовым территориям многоквартирных домов;</w:t>
      </w:r>
    </w:p>
    <w:p>
      <w:pPr>
        <w:pStyle w:val="Style15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cs="Times New Roman" w:ascii="Times New Roman" w:hAnsi="Times New Roman"/>
          <w:sz w:val="28"/>
          <w:szCs w:val="28"/>
          <w:lang w:eastAsia="ru-RU"/>
        </w:rPr>
        <w:t>4) приобретение дорожно-строительной техники, необходимой для осуществления дорожной деятельности;</w:t>
      </w:r>
    </w:p>
    <w:p>
      <w:pPr>
        <w:pStyle w:val="Style15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5) осуществление мероприятий по обеспечению безопасности дорожного движения на автомобильных дорогах общего пользования местного значения; </w:t>
        <w:br/>
        <w:t xml:space="preserve">     6) 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сооружения на них;</w:t>
      </w:r>
    </w:p>
    <w:p>
      <w:pPr>
        <w:pStyle w:val="Style15"/>
        <w:tabs>
          <w:tab w:val="left" w:pos="426" w:leader="none"/>
        </w:tabs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cs="Times New Roman" w:ascii="Times New Roman" w:hAnsi="Times New Roman"/>
          <w:sz w:val="28"/>
          <w:szCs w:val="28"/>
          <w:lang w:eastAsia="ru-RU"/>
        </w:rPr>
        <w:t>7) на осуществление иных полномочий в области использования улично-дорожной сети общего пользования местного значения, в том числе автомобильных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p>
      <w:pPr>
        <w:pStyle w:val="Style15"/>
        <w:tabs>
          <w:tab w:val="left" w:pos="426" w:leader="none"/>
        </w:tabs>
        <w:jc w:val="both"/>
        <w:rPr>
          <w:rFonts w:ascii="Times New Roman" w:hAnsi="Times New Roman" w:eastAsia="Times New Roman" w:cs="Times New Roman"/>
          <w:color w:val="1E1E1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cs="Times New Roman" w:ascii="Times New Roman" w:hAnsi="Times New Roman"/>
          <w:sz w:val="28"/>
          <w:szCs w:val="28"/>
          <w:lang w:eastAsia="ru-RU"/>
        </w:rPr>
        <w:t>8) создание резерва средств муниципального дорожного фонда.</w:t>
      </w:r>
    </w:p>
    <w:p>
      <w:pPr>
        <w:pStyle w:val="Style15"/>
        <w:tabs>
          <w:tab w:val="left" w:pos="567" w:leader="none"/>
        </w:tabs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3.2  Средства муниципального дорожного фонда имеют целевое значение и не подлежат изъятию либо расходованию на цели, не указанные в пункте 3.1 раздела 3 настоящего положения. </w:t>
      </w:r>
    </w:p>
    <w:p>
      <w:pPr>
        <w:pStyle w:val="Style15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3.3 Резерв средств муниципального дорожного фонда устанавливается в размере 1 процента поступлений годовых доходов дорожного фонда и может расходоваться на цели, связанные с восстановлением функционирования автомобильных дорог, в том числе, на финансовое обеспечение ликвидации последствий стихийных бедствий и других чрезвычайных происшествий. </w:t>
      </w:r>
    </w:p>
    <w:p>
      <w:pPr>
        <w:pStyle w:val="Style1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3.4 Средства муниципального дорожного фонда, не использованные в течение года, не подлежат изъятию и учитываются при финансовом обеспечении в последующих периодах. </w:t>
      </w:r>
    </w:p>
    <w:p>
      <w:pPr>
        <w:pStyle w:val="Style15"/>
        <w:jc w:val="both"/>
        <w:rPr>
          <w:rFonts w:ascii="Times New Roman" w:hAnsi="Times New Roman" w:eastAsia="Times New Roman" w:cs="Times New Roman"/>
          <w:color w:val="1E1E1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E1E1E"/>
          <w:sz w:val="28"/>
          <w:szCs w:val="28"/>
          <w:lang w:eastAsia="ru-RU"/>
        </w:rPr>
      </w:r>
    </w:p>
    <w:p>
      <w:pPr>
        <w:pStyle w:val="Style15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4. Отчет об использовании бюджетных ассигнований </w:t>
      </w:r>
    </w:p>
    <w:p>
      <w:pPr>
        <w:pStyle w:val="Style15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>муниципального дорожного фонда</w:t>
      </w:r>
    </w:p>
    <w:p>
      <w:pPr>
        <w:pStyle w:val="Style15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br/>
        <w:t xml:space="preserve">       4.1. Отчет об использовании бюджетных ассигнований дорожного фонда формируется в составе бюджетной отчетности об исполнении местного бюджета и представляется в Собрание депутатов Эсто-Алтайского сельского муниципального образования Республики Калмыкия одновременно с годовым отчетом об исполнении местного бюджета и подлежит обязательному опубликованию. </w:t>
        <w:br/>
      </w:r>
    </w:p>
    <w:p>
      <w:pPr>
        <w:pStyle w:val="Style15"/>
        <w:jc w:val="both"/>
        <w:rPr>
          <w:rFonts w:ascii="Times New Roman" w:hAnsi="Times New Roman" w:eastAsia="Times New Roman" w:cs="Times New Roman"/>
          <w:color w:val="1E1E1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E1E1E"/>
          <w:sz w:val="28"/>
          <w:szCs w:val="28"/>
          <w:lang w:eastAsia="ru-RU"/>
        </w:rPr>
      </w:r>
    </w:p>
    <w:p>
      <w:pPr>
        <w:pStyle w:val="Style15"/>
        <w:jc w:val="both"/>
        <w:rPr>
          <w:rFonts w:ascii="Times New Roman" w:hAnsi="Times New Roman" w:eastAsia="Times New Roman" w:cs="Times New Roman"/>
          <w:color w:val="1E1E1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E1E1E"/>
          <w:sz w:val="28"/>
          <w:szCs w:val="28"/>
          <w:lang w:eastAsia="ru-RU"/>
        </w:rPr>
      </w:r>
    </w:p>
    <w:p>
      <w:pPr>
        <w:pStyle w:val="Style15"/>
        <w:jc w:val="both"/>
        <w:rPr>
          <w:rFonts w:ascii="Times New Roman" w:hAnsi="Times New Roman" w:eastAsia="Times New Roman" w:cs="Times New Roman"/>
          <w:color w:val="1E1E1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E1E1E"/>
          <w:sz w:val="28"/>
          <w:szCs w:val="28"/>
          <w:lang w:eastAsia="ru-RU"/>
        </w:rPr>
      </w:r>
    </w:p>
    <w:p>
      <w:pPr>
        <w:pStyle w:val="Style15"/>
        <w:jc w:val="both"/>
        <w:rPr>
          <w:rFonts w:ascii="Times New Roman" w:hAnsi="Times New Roman" w:eastAsia="Times New Roman" w:cs="Times New Roman"/>
          <w:color w:val="1E1E1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E1E1E"/>
          <w:sz w:val="28"/>
          <w:szCs w:val="28"/>
          <w:lang w:eastAsia="ru-RU"/>
        </w:rPr>
      </w:r>
    </w:p>
    <w:p>
      <w:pPr>
        <w:pStyle w:val="Style15"/>
        <w:jc w:val="both"/>
        <w:rPr>
          <w:rFonts w:ascii="Times New Roman" w:hAnsi="Times New Roman" w:eastAsia="Times New Roman" w:cs="Times New Roman"/>
          <w:color w:val="1E1E1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E1E1E"/>
          <w:sz w:val="28"/>
          <w:szCs w:val="28"/>
          <w:lang w:eastAsia="ru-RU"/>
        </w:rPr>
      </w:r>
    </w:p>
    <w:p>
      <w:pPr>
        <w:pStyle w:val="Style1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Style1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Style1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Style1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Style1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Style1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Style1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Style15"/>
        <w:jc w:val="center"/>
        <w:rPr>
          <w:rFonts w:ascii="Arial" w:hAnsi="Arial" w:eastAsia="Times New Roman" w:cs="Arial"/>
          <w:color w:val="1E1E1E"/>
          <w:sz w:val="21"/>
          <w:szCs w:val="21"/>
          <w:lang w:eastAsia="ru-RU"/>
        </w:rPr>
      </w:pPr>
      <w:r>
        <w:rPr>
          <w:lang w:eastAsia="ru-RU"/>
        </w:rPr>
        <w:br/>
        <w:br/>
      </w:r>
    </w:p>
    <w:p>
      <w:pPr>
        <w:pStyle w:val="Style1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br/>
      </w:r>
    </w:p>
    <w:p>
      <w:pPr>
        <w:pStyle w:val="Style1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sectPr>
      <w:type w:val="nextPage"/>
      <w:pgSz w:w="11906" w:h="16838"/>
      <w:pgMar w:left="1418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altName w:val="Arial"/>
    <w:charset w:val="cc"/>
    <w:family w:val="swiss"/>
    <w:pitch w:val="variable"/>
  </w:font>
  <w:font w:name="Cambria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01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;Arial" w:hAnsi="Calibri;Arial" w:eastAsia="Calibri;Arial" w:cs="Times New Roman"/>
      <w:color w:val="auto"/>
      <w:sz w:val="22"/>
      <w:szCs w:val="22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Style12">
    <w:name w:val="Основной шрифт абзаца"/>
    <w:qFormat/>
    <w:rPr/>
  </w:style>
  <w:style w:type="character" w:styleId="4">
    <w:name w:val=" Знак Знак4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3">
    <w:name w:val=" Знак Знак3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2">
    <w:name w:val=" Знак Знак2"/>
    <w:qFormat/>
    <w:rPr>
      <w:rFonts w:ascii="Times New Roman" w:hAnsi="Times New Roman" w:eastAsia="Times New Roman" w:cs="Times New Roman"/>
      <w:sz w:val="24"/>
      <w:szCs w:val="24"/>
    </w:rPr>
  </w:style>
  <w:style w:type="character" w:styleId="1">
    <w:name w:val=" Знак Знак1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3">
    <w:name w:val=" Знак Знак"/>
    <w:qFormat/>
    <w:rPr>
      <w:rFonts w:ascii="Tahoma" w:hAnsi="Tahoma" w:cs="Tahoma"/>
      <w:sz w:val="16"/>
      <w:szCs w:val="16"/>
    </w:rPr>
  </w:style>
  <w:style w:type="character" w:styleId="InternetLink">
    <w:name w:val="Internet Link"/>
    <w:rPr>
      <w:color w:val="0000FF"/>
      <w:u w:val="single"/>
    </w:rPr>
  </w:style>
  <w:style w:type="character" w:styleId="Emphasis">
    <w:name w:val="Emphasis"/>
    <w:basedOn w:val="Style12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31">
    <w:name w:val="Основной текст с отступом 3"/>
    <w:basedOn w:val="Normal"/>
    <w:qFormat/>
    <w:pPr>
      <w:spacing w:lineRule="auto" w:line="240" w:before="0" w:after="0"/>
      <w:ind w:firstLine="540"/>
      <w:jc w:val="both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ConsTitle">
    <w:name w:val="ConsTitle"/>
    <w:qFormat/>
    <w:pPr>
      <w:widowControl w:val="false"/>
      <w:autoSpaceDE w:val="false"/>
      <w:ind w:right="19772" w:hanging="0"/>
    </w:pPr>
    <w:rPr>
      <w:rFonts w:ascii="Arial" w:hAnsi="Arial" w:eastAsia="Times New Roman" w:cs="Arial"/>
      <w:b/>
      <w:bCs/>
      <w:color w:val="auto"/>
      <w:sz w:val="16"/>
      <w:szCs w:val="16"/>
      <w:lang w:val="ru-RU" w:bidi="ar-SA" w:eastAsia="zh-CN"/>
    </w:rPr>
  </w:style>
  <w:style w:type="paragraph" w:styleId="Style14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5">
    <w:name w:val="Без интервала"/>
    <w:qFormat/>
    <w:pPr>
      <w:widowControl/>
    </w:pPr>
    <w:rPr>
      <w:rFonts w:ascii="Calibri;Arial" w:hAnsi="Calibri;Arial" w:eastAsia="Calibri;Arial" w:cs="Times New Roman"/>
      <w:color w:val="auto"/>
      <w:sz w:val="22"/>
      <w:szCs w:val="22"/>
      <w:lang w:val="ru-RU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dzio@admnsk.ru" TargetMode="External"/><Relationship Id="rId4" Type="http://schemas.openxmlformats.org/officeDocument/2006/relationships/hyperlink" Target="mailto:admjurist@rambler.ru" TargetMode="External"/><Relationship Id="rId5" Type="http://schemas.openxmlformats.org/officeDocument/2006/relationships/hyperlink" Target="mailto:admjurist@rambler.r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2013-12-04T10:37:00Z</dcterms:created>
  <dc:creator>Казначеева</dc:creator>
  <dc:description/>
  <cp:keywords/>
  <dc:language>en-US</dc:language>
  <cp:lastModifiedBy>Владелец</cp:lastModifiedBy>
  <cp:lastPrinted>2013-12-10T10:03:00Z</cp:lastPrinted>
  <dcterms:modified xsi:type="dcterms:W3CDTF">2013-12-10T10:04:00Z</dcterms:modified>
  <cp:revision>5</cp:revision>
  <dc:subject/>
  <dc:title/>
</cp:coreProperties>
</file>