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635" cy="12668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Style15"/>
        <w:spacing w:before="0" w:after="0"/>
        <w:jc w:val="both"/>
        <w:rPr>
          <w:rStyle w:val="StrongEmphasis"/>
          <w:rFonts w:ascii="Times New Roman" w:hAnsi="Times New Roman" w:cs="Times New Roman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yle15"/>
        <w:spacing w:before="0" w:after="0"/>
        <w:jc w:val="both"/>
        <w:rPr/>
      </w:pPr>
      <w:r>
        <w:rPr>
          <w:rStyle w:val="StrongEmphasis"/>
          <w:rFonts w:cs="Times New Roman" w:ascii="Times New Roman" w:hAnsi="Times New Roman"/>
          <w:b w:val="false"/>
          <w:bCs w:val="false"/>
        </w:rPr>
        <w:t>10 апреля 2013 г.                                                    №  6</w:t>
        <w:tab/>
        <w:tab/>
        <w:tab/>
        <w:tab/>
        <w:t>с. Эсто-Алтай</w:t>
      </w:r>
    </w:p>
    <w:p>
      <w:pPr>
        <w:pStyle w:val="Normal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669" w:hanging="0"/>
        <w:jc w:val="left"/>
        <w:rPr/>
      </w:pPr>
      <w:r>
        <w:rPr>
          <w:sz w:val="24"/>
          <w:szCs w:val="24"/>
        </w:rPr>
        <w:t xml:space="preserve">О прогнозе социально-экономического развития Эсто-Алтайского сельского муниципального образования Республики Калмыкия на 2013-2015 годы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13 Положения о бюджетном процессе в Эсто-Алтайском сельском муниципальном образовании РК, утвержденного решением Собрания депутатов  Эсто-Алтайского сельского муниципального образования Республики Калмыкия от 29 декабря 2011 года № 35, Администрация Эсто-Алтайского сельского муниципального образования Республики Калмыкия 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ПОСТАНОВЛЯЕТ: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1. Утвердить Прогноз социально-экономического развития Эсто-Алтайского сельского муниципального образования Республики Калмыкия на 2013-2015 годы (приложение).</w:t>
      </w:r>
    </w:p>
    <w:p>
      <w:pPr>
        <w:pStyle w:val="Normal"/>
        <w:spacing w:before="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возложить на главного специалиста Администрации Эсто-Алтайского сельского муниципального образования Республики Калмыкия Валуеву В.А.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Глава Администрации</w:t>
      </w:r>
    </w:p>
    <w:p>
      <w:pPr>
        <w:pStyle w:val="Normal"/>
        <w:rPr/>
      </w:pPr>
      <w:r>
        <w:rPr>
          <w:sz w:val="24"/>
          <w:szCs w:val="24"/>
        </w:rPr>
        <w:t xml:space="preserve">Эсто-Алтайского сельского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образования Республики Калмыкия</w:t>
        <w:tab/>
        <w:tab/>
        <w:tab/>
        <w:tab/>
        <w:t xml:space="preserve">                       Карагодин В.В.</w:t>
      </w:r>
      <w:r>
        <w:br w:type="page"/>
      </w:r>
    </w:p>
    <w:p>
      <w:pPr>
        <w:pStyle w:val="Normal"/>
        <w:ind w:left="576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pStyle w:val="Normal"/>
        <w:ind w:left="5760" w:hanging="0"/>
        <w:jc w:val="center"/>
        <w:rPr/>
      </w:pPr>
      <w:r>
        <w:rPr>
          <w:color w:val="000000"/>
          <w:sz w:val="24"/>
          <w:szCs w:val="24"/>
        </w:rPr>
        <w:t>к постановлению  Администрации</w:t>
      </w:r>
    </w:p>
    <w:p>
      <w:pPr>
        <w:pStyle w:val="Normal"/>
        <w:ind w:left="576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Эсто-Алтайского сельского муниципального образования Республики Калмыкия</w:t>
      </w:r>
    </w:p>
    <w:p>
      <w:pPr>
        <w:pStyle w:val="Normal"/>
        <w:ind w:left="576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10 апреля 2013 г. № 6</w:t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социально-экономического развития Эсто-Алтайского сельского муниципального образования Республики Калмыкия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2013 год и плановый период 2014 -2015 годов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Прогноз социально-экономического развития Эсто-Алтайского сельского муниципального образования Республики Калмыкия на 2013 год и на плановый период до 2015 года разработан с учетом сценарных условий и основных макроэкономических параметров прогноза социально-экономического развития Российской Федерации на 2013 год и на период  2014 и 2015 годов, основных параметров прогноза социально-экономического развития Эсто-Алтайского СМО, итогов социально-экономического развития Эсто-Алтайского СМО за 2012 год.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Рассматриваемый вариант прогноза, предлагаемый для разработки местного бюджета – умеренно оптимистичный, предполагает развитие сельского муниципального образования в условиях проводимой органами местного самоуправления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>
      <w:pPr>
        <w:pStyle w:val="Normal"/>
        <w:ind w:righ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left" w:pos="1440" w:leader="none"/>
        </w:tabs>
        <w:jc w:val="center"/>
        <w:rPr/>
      </w:pPr>
      <w:r>
        <w:rPr>
          <w:sz w:val="24"/>
          <w:szCs w:val="24"/>
        </w:rPr>
        <w:t xml:space="preserve">Прогноз основных показателей социально-экономического развития </w:t>
      </w:r>
    </w:p>
    <w:p>
      <w:pPr>
        <w:pStyle w:val="2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2013-2015 годы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1.Демография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В 2013-2015 гг. в поселении прогнозируется развитие демографической ситуации под влиянием сложившихся тенденций рождаемости, смертности и миграции. Сокращение численности населения по-прежнему будет обусловлено естественной убылью населения, миграцией и малой рождаемостью населения. Численность населения Эсто-Алтайского СМО к концу 2015 г. может снизиться на 33 человек и составить 1445 человек.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Экономическое развитие поселения</w:t>
      </w:r>
    </w:p>
    <w:p>
      <w:pPr>
        <w:pStyle w:val="Heading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2.1.Сельское хозяйство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Основные ожидания положительных результатов развития сельскохозяйственного производства связаны с планами СПК им. Карла Маркса в области растениеводства – это использование имеющихся в арендах земли под сельхоз культуры. Общий объем производства всех видов сельскохозяйственной продукции к концу 2015 года планируется увеличить в 1,5 раза.</w:t>
      </w:r>
    </w:p>
    <w:p>
      <w:pPr>
        <w:pStyle w:val="TextBodyIndent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TextBody"/>
        <w:spacing w:before="0" w:after="120"/>
        <w:rPr>
          <w:sz w:val="24"/>
          <w:szCs w:val="24"/>
        </w:rPr>
      </w:pPr>
      <w:r>
        <w:rPr>
          <w:b/>
          <w:i/>
          <w:sz w:val="24"/>
          <w:szCs w:val="24"/>
        </w:rPr>
        <w:t>2.2.Потребительский комплекс и предпринимательство</w:t>
      </w:r>
    </w:p>
    <w:p>
      <w:pPr>
        <w:pStyle w:val="Normal"/>
        <w:spacing w:before="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Продолжит развитие потребительский рынок, темпы роста его оборотов должны сохраниться на том же уровне. Основным критерием должен стать рост качественного предоставления услуг населению.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Численностью работающих на предприятиях малого бизнеса должна достигнуть  15 человек.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 По-прежнему востребованной останется компенсация  части затрат субъектам малого предпринимательства, связанных с произведенными ими выплатами в счет погашения денежных обязательств по кредитным и лизинговым договорам, предоставление льготных займов субъектам малого предпринимательства.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2.3.Инвестиции, развитие территории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Будет продолжена работа с потенциальными инвесторами. В 2013-2015 гг. прогнозируется вложение инвестиций.</w:t>
      </w:r>
    </w:p>
    <w:p>
      <w:pPr>
        <w:pStyle w:val="Normal"/>
        <w:spacing w:before="0" w:after="120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2.4. Трудовые ресурсы, доходы, занятость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Численность занятого населения прогнозируется увеличить к 2015 году до 346 человек. Уровень безработицы на конец 2015 года составит 2,2% от экономически активного населения.</w:t>
      </w:r>
    </w:p>
    <w:p>
      <w:pPr>
        <w:pStyle w:val="Normal"/>
        <w:spacing w:before="0" w:after="120"/>
        <w:ind w:firstLine="720"/>
        <w:rPr/>
      </w:pPr>
      <w:r>
        <w:rPr>
          <w:sz w:val="24"/>
          <w:szCs w:val="24"/>
        </w:rPr>
        <w:t>Прогнозируется повышение номинальной среднемесячной заработной платы к 2015 г. до размера 6,2 тыс. рублей или на 20% по сравнению с 2012 годом.</w:t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/>
      </w:pPr>
      <w:r>
        <w:rPr>
          <w:b/>
          <w:bCs/>
          <w:color w:val="000000"/>
          <w:sz w:val="24"/>
          <w:szCs w:val="24"/>
        </w:rPr>
        <w:t>ОСНОВНЫЕ ПОКАЗАТЕЛИ  ПРОГНОЗА</w:t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социально- экономического развития  </w:t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Березовского сельского муниципального образования Республики Калмыкия</w:t>
      </w:r>
    </w:p>
    <w:p>
      <w:pPr>
        <w:pStyle w:val="Normal"/>
        <w:autoSpaceDE w:val="false"/>
        <w:jc w:val="center"/>
        <w:rPr/>
      </w:pPr>
      <w:r>
        <w:rPr/>
        <w:t xml:space="preserve">  </w:t>
      </w:r>
      <w:r>
        <w:rPr/>
        <w:t>на 2013-2015 годы</w:t>
      </w:r>
    </w:p>
    <w:tbl>
      <w:tblPr>
        <w:tblW w:w="999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22" w:type="dxa"/>
          <w:bottom w:w="0" w:type="dxa"/>
          <w:right w:w="30" w:type="dxa"/>
        </w:tblCellMar>
      </w:tblPr>
      <w:tblGrid>
        <w:gridCol w:w="302"/>
        <w:gridCol w:w="3963"/>
        <w:gridCol w:w="966"/>
        <w:gridCol w:w="824"/>
        <w:gridCol w:w="828"/>
        <w:gridCol w:w="1033"/>
        <w:gridCol w:w="1033"/>
        <w:gridCol w:w="1043"/>
        <w:gridCol w:w="5"/>
      </w:tblGrid>
      <w:tr>
        <w:trPr>
          <w:trHeight w:val="756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2011 г. отчет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 г. отчет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2013 г. прогноз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 г. прогноз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2015 г. прогноз</w:t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Численность постоянного населения (на конец года)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1445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1445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родившихся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</w:t>
            </w:r>
          </w:p>
        </w:tc>
      </w:tr>
      <w:tr>
        <w:trPr>
          <w:trHeight w:val="708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Численность безработных (на конец года)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>
        <w:trPr>
          <w:trHeight w:val="1056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в экономике- всего (на последнюю дату)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 - всего по экономике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бюджета, всего: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3814,6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3864,4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1730,9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2150,5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2164,5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НДФЛ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234.5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200.4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350,0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380,0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транспортный налог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45.0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60,0</w:t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-единый сельскохозяйственный налог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199.7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434.6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50.0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40,0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60,0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земельный налог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507.6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872.6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900,0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900,0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нотариальные действия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20,0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24,0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Арендная плата и поступления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241.9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lang w:val="en-US" w:eastAsia="en-US"/>
              </w:rPr>
              <w:t>Прочие доходы от оказания платных услуг (работ)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578.1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460.0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490,0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/>
            </w:pPr>
            <w:r>
              <w:rPr>
                <w:rFonts w:cs="Times New Roman" w:ascii="Times New Roman" w:hAnsi="Times New Roman"/>
              </w:rPr>
              <w:t>700,0</w:t>
            </w:r>
          </w:p>
        </w:tc>
      </w:tr>
      <w:tr>
        <w:trPr>
          <w:trHeight w:val="674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по воинскому учету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40,5</w:t>
            </w:r>
          </w:p>
        </w:tc>
      </w:tr>
      <w:tr>
        <w:trPr>
          <w:trHeight w:val="674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4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бюджета, всего: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3814.6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3862.4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1890.9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2161,5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2090,7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871.74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1048.4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926.6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1017,4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1125,8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40,5</w:t>
            </w:r>
          </w:p>
        </w:tc>
      </w:tr>
      <w:tr>
        <w:trPr>
          <w:trHeight w:val="1222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Расходы на национальную экономику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101.0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ЖКХ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1995.2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1778.6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277,7</w:t>
            </w:r>
          </w:p>
        </w:tc>
      </w:tr>
      <w:tr>
        <w:trPr>
          <w:trHeight w:val="1526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Расходы на социально-культурные мероприятия, финансируемые за счет бюджета, а также средств внебюджетных фондов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907.66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899.2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771.5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646,7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их них: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культура, искусство, средства массовой информации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696.95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899.2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539.3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646,7</w:t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здравоохранение и физкультура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0" w:hRule="atLeas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Прочие расходы (межбюджетные трансферты)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Arial Unicode M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left"/>
      <w:outlineLvl w:val="1"/>
    </w:pPr>
    <w:rPr>
      <w:rFonts w:ascii="Tahoma" w:hAnsi="Tahoma" w:cs="Tahoma"/>
      <w:b/>
      <w:sz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rongEmphasis">
    <w:name w:val="Strong Emphasis"/>
    <w:basedOn w:val="Style11"/>
    <w:qFormat/>
    <w:rPr>
      <w:b/>
      <w:bCs/>
    </w:rPr>
  </w:style>
  <w:style w:type="paragraph" w:styleId="Heading">
    <w:name w:val="Heading"/>
    <w:basedOn w:val="Normal"/>
    <w:next w:val="TextBody"/>
    <w:qFormat/>
    <w:pPr>
      <w:jc w:val="center"/>
    </w:pPr>
    <w:rPr/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2">
    <w:name w:val="Администрация"/>
    <w:qFormat/>
    <w:pPr>
      <w:widowControl/>
      <w:tabs>
        <w:tab w:val="left" w:pos="284" w:leader="none"/>
      </w:tabs>
      <w:spacing w:lineRule="auto" w:line="360"/>
      <w:ind w:firstLine="709"/>
    </w:pPr>
    <w:rPr>
      <w:rFonts w:ascii="Times New Roman" w:hAnsi="Times New Roman" w:eastAsia="Times New Roman" w:cs="Times New Roman"/>
      <w:color w:val="auto"/>
      <w:sz w:val="28"/>
      <w:szCs w:val="20"/>
      <w:lang w:val="ru-RU" w:eastAsia="en-US" w:bidi="ar-SA"/>
    </w:rPr>
  </w:style>
  <w:style w:type="paragraph" w:styleId="Style13">
    <w:name w:val="постановление"/>
    <w:qFormat/>
    <w:pPr>
      <w:widowControl/>
      <w:ind w:right="-1" w:hanging="0"/>
      <w:jc w:val="both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Style1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2">
    <w:name w:val="Основной текст 2"/>
    <w:basedOn w:val="Normal"/>
    <w:qFormat/>
    <w:pPr>
      <w:jc w:val="left"/>
    </w:pPr>
    <w:rPr>
      <w:b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  <w:jc w:val="left"/>
    </w:pPr>
    <w:rPr/>
  </w:style>
  <w:style w:type="paragraph" w:styleId="TextBodyIndent">
    <w:name w:val="Body Text Indent"/>
    <w:basedOn w:val="Normal"/>
    <w:pPr>
      <w:spacing w:before="0" w:after="120"/>
      <w:ind w:left="283" w:hanging="0"/>
      <w:jc w:val="left"/>
    </w:pPr>
    <w:rPr/>
  </w:style>
  <w:style w:type="paragraph" w:styleId="BodyText2">
    <w:name w:val="Body Text 2"/>
    <w:basedOn w:val="Normal"/>
    <w:qFormat/>
    <w:pPr>
      <w:widowControl w:val="false"/>
      <w:spacing w:before="0" w:after="60"/>
      <w:ind w:firstLine="720"/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  <w:jc w:val="left"/>
    </w:pPr>
    <w:rPr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5">
    <w:name w:val="Обычный (веб)"/>
    <w:basedOn w:val="Normal"/>
    <w:qFormat/>
    <w:pPr>
      <w:spacing w:before="100" w:after="100"/>
      <w:jc w:val="left"/>
    </w:pPr>
    <w:rPr>
      <w:rFonts w:ascii="Arial Unicode MS;Arial" w:hAnsi="Arial Unicode MS;Arial" w:eastAsia="Arial Unicode MS;Arial" w:cs="Arial Unicode MS;Arial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2013-04-10T16:39:00Z</dcterms:created>
  <dc:creator>Admin</dc:creator>
  <dc:description/>
  <cp:keywords/>
  <dc:language>en-US</dc:language>
  <cp:lastModifiedBy>Владелец</cp:lastModifiedBy>
  <cp:lastPrinted>2013-04-24T16:28:00Z</cp:lastPrinted>
  <dcterms:modified xsi:type="dcterms:W3CDTF">2013-04-24T16:29:00Z</dcterms:modified>
  <cp:revision>5</cp:revision>
  <dc:subject/>
  <dc:title>АДМИНИСТРАЦИЯ  МУНИЦИПАЛЬНОГО  ОБРАЗОВАНИЯ</dc:title>
</cp:coreProperties>
</file>