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ИНН 0812900527, т.( 84745)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 № 36</w:t>
        <w:tab/>
        <w:t xml:space="preserve">        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b/>
          <w:i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находящегося в собственности муниципального образования, юридическим лицам,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b/>
        </w:rPr>
        <w:t xml:space="preserve">» утвержденный Постановлением Главы администрации Эсто-Алтайского СМО РК № 12 от 25 апреля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исполнение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</w:t>
      </w:r>
      <w:r>
        <w:rPr>
          <w:i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находящегося в собственности муниципального образования, юридическим лицам,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>
        <w:rPr/>
        <w:t>» утвержденный Постановлением Главы администрации Эсто-Алтайского СМО РК № 12 от 25 апреля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- в главе 2 п. 2.21.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предоставлении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2013-08-22T08:42:00Z</dcterms:created>
  <dc:creator>Владелец</dc:creator>
  <dc:description/>
  <cp:keywords/>
  <dc:language>en-US</dc:language>
  <cp:lastModifiedBy>Владелец</cp:lastModifiedBy>
  <dcterms:modified xsi:type="dcterms:W3CDTF">2013-08-22T08:43:00Z</dcterms:modified>
  <cp:revision>1</cp:revision>
  <dc:subject/>
  <dc:title>Администрация Эсто-Алтайского  сельского  муниципального  образования</dc:title>
</cp:coreProperties>
</file>