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13 августа 2013 г.                                           № 29</w:t>
        <w:tab/>
        <w:tab/>
        <w:t xml:space="preserve">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Об упорядочении нумерации объектов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 земельным участком по пер. Комсомольский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с. Эсто-Алтай Яшалтинского района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Республики Калмыкия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В связи с тем, что на данный период необходимо упорядочить нумерацию некоторых объектов по пер. Комсомольский с. Эсто-Алтай Яшалтинского района Республики Калмыкия, </w:t>
      </w:r>
      <w:r>
        <w:rPr>
          <w:b/>
        </w:rPr>
        <w:t>постановляю:</w:t>
      </w:r>
    </w:p>
    <w:p>
      <w:pPr>
        <w:pStyle w:val="Normal"/>
        <w:autoSpaceDE w:val="false"/>
        <w:ind w:firstLine="540"/>
        <w:jc w:val="both"/>
        <w:rPr/>
      </w:pPr>
      <w:r>
        <w:rPr/>
        <w:t>Изменить нумерацию по пер. Комсомольский дом 14 «Б», на пер. Комсомольский дом 15 кв. 2, дом 15 кв. 3.</w:t>
      </w:r>
      <w:r>
        <w:rPr>
          <w:vanish/>
        </w:rPr>
        <w:t xml:space="preserve">ий 14 б попер. й Яшалтинского района Республики Калмыкия, </w:t>
      </w:r>
    </w:p>
    <w:p>
      <w:pPr>
        <w:pStyle w:val="Normal"/>
        <w:autoSpaceDE w:val="false"/>
        <w:ind w:firstLine="540"/>
        <w:jc w:val="both"/>
        <w:rPr>
          <w:vanish/>
        </w:rPr>
      </w:pPr>
      <w:r>
        <w:rPr>
          <w:vanish/>
        </w:rPr>
        <w:t xml:space="preserve">екоторых объектов по пер. </w:t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cp:lastPrinted>2013-08-13T09:20:00Z</cp:lastPrinted>
  <dcterms:modified xsi:type="dcterms:W3CDTF">2013-08-21T13:29:00Z</dcterms:modified>
  <cp:revision>8</cp:revision>
  <dc:subject/>
  <dc:title>Администрация Эсто-Алтайского  сельского  муниципального  образования</dc:title>
</cp:coreProperties>
</file>