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Эсто-Алтайского  сельского  муниципального 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drawing>
                <wp:inline distT="0" distB="0" distL="0" distR="0">
                  <wp:extent cx="1143000" cy="127190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359026,Республика Калмыкия, с. Эсто-Алтай, ул. Карла Маркса 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ИНН 0812900527, т.( 84745) 98-2-41</w:t>
            </w:r>
          </w:p>
          <w:p>
            <w:pPr>
              <w:pStyle w:val="Normal"/>
              <w:tabs>
                <w:tab w:val="left" w:pos="2623" w:leader="none"/>
              </w:tabs>
              <w:rPr/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>
              <w:rPr>
                <w:b/>
                <w:bCs/>
                <w:sz w:val="18"/>
                <w:szCs w:val="18"/>
              </w:rPr>
              <w:t>__________________________________________________________________________________________________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 xml:space="preserve">от «16»  </w:t>
      </w:r>
      <w:r>
        <w:rPr>
          <w:u w:val="single"/>
        </w:rPr>
        <w:t xml:space="preserve">июля </w:t>
      </w:r>
      <w:r>
        <w:rPr/>
        <w:t xml:space="preserve"> 2013 г.                                    № 19</w:t>
        <w:tab/>
        <w:tab/>
        <w:t xml:space="preserve">                         с. Эсто-Алтай</w:t>
      </w:r>
    </w:p>
    <w:p>
      <w:pPr>
        <w:pStyle w:val="ConsPlusTitle"/>
        <w:rPr>
          <w:rFonts w:ascii="Times New Roman" w:hAnsi="Times New Roman" w:cs="Times New Roman"/>
          <w:bCs w:val="false"/>
          <w:sz w:val="24"/>
          <w:szCs w:val="24"/>
        </w:rPr>
      </w:pPr>
      <w:r>
        <w:rPr>
          <w:rFonts w:cs="Times New Roman" w:ascii="Times New Roman" w:hAnsi="Times New Roman"/>
          <w:bCs w:val="false"/>
          <w:sz w:val="24"/>
          <w:szCs w:val="24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О внесении изменений в Административный регламент </w:t>
      </w:r>
    </w:p>
    <w:p>
      <w:pPr>
        <w:pStyle w:val="Normal"/>
        <w:rPr/>
      </w:pPr>
      <w:r>
        <w:rPr>
          <w:b/>
        </w:rPr>
        <w:t xml:space="preserve">по предоставлению муниципальной услуги «Выдача градостроительного плана земельного участка», утвержденный Постановлением </w:t>
      </w:r>
    </w:p>
    <w:p>
      <w:pPr>
        <w:pStyle w:val="Normal"/>
        <w:rPr/>
      </w:pPr>
      <w:r>
        <w:rPr>
          <w:b/>
        </w:rPr>
        <w:t xml:space="preserve">Главы администрации Эсто-Алтайского СМО РК № 5 от 17 апреля 2012 г.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2012 г.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услуги, постановляю:</w:t>
      </w:r>
    </w:p>
    <w:p>
      <w:pPr>
        <w:pStyle w:val="Normal"/>
        <w:jc w:val="both"/>
        <w:rPr/>
      </w:pPr>
      <w:r>
        <w:rPr/>
        <w:t xml:space="preserve">    </w:t>
      </w:r>
      <w:r>
        <w:rPr/>
        <w:t>Внести в Административный регламент по предоставлению муниципальной услуги «Выдача градостроительного плана земельного участка» утвержденный Постановлением Главы администрации Эсто-Алтайского СМО РК № 5 от 17 апреля 2012 г. следующие изменения:</w:t>
      </w:r>
      <w:r>
        <w:rPr>
          <w:b/>
        </w:rPr>
        <w:t xml:space="preserve">  </w:t>
      </w:r>
    </w:p>
    <w:p>
      <w:pPr>
        <w:pStyle w:val="Normal"/>
        <w:autoSpaceDE w:val="false"/>
        <w:jc w:val="both"/>
        <w:rPr/>
      </w:pPr>
      <w:r>
        <w:rPr/>
        <w:t xml:space="preserve">    </w:t>
      </w:r>
      <w:r>
        <w:rPr/>
        <w:t>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 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 xml:space="preserve">- в главе 2 п. 2.21.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>обеспечивается возможность получения  информации о ходе предоставления муниципальной услуги. Ответ заявителю направляется в электронном виде.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</w:t>
      </w:r>
      <w:r>
        <w:rPr/>
        <w:t xml:space="preserve">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  </w:t>
      </w:r>
      <w:r>
        <w:rPr/>
        <w:t>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 ,которые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 , муниципальными правовыми актами с учетом положений части 6 статьи 7 Федерального закона от 27 июля 2010 г. №210-ФЗ «Об организации предоставления государственных и муниципальных услуг»;</w:t>
      </w:r>
    </w:p>
    <w:p>
      <w:pPr>
        <w:pStyle w:val="Normal"/>
        <w:tabs>
          <w:tab w:val="left" w:pos="0" w:leader="none"/>
        </w:tabs>
        <w:ind w:right="-1" w:hanging="0"/>
        <w:jc w:val="both"/>
        <w:rPr/>
      </w:pPr>
      <w:r>
        <w:rPr/>
        <w:t xml:space="preserve">  </w:t>
      </w:r>
      <w:r>
        <w:rPr/>
        <w:t>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>
      <w:pPr>
        <w:pStyle w:val="Normal"/>
        <w:autoSpaceDE w:val="false"/>
        <w:jc w:val="both"/>
        <w:rPr/>
      </w:pPr>
      <w:r>
        <w:rPr/>
        <w:t xml:space="preserve">  </w:t>
      </w:r>
      <w:r>
        <w:rPr/>
        <w:t>-   в главе 5 п. 5.7 изложить в следующей редакции «Жалоба поступившая в орган ,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регистрации».</w:t>
      </w:r>
    </w:p>
    <w:p>
      <w:pPr>
        <w:pStyle w:val="Normal"/>
        <w:autoSpaceDE w:val="false"/>
        <w:jc w:val="both"/>
        <w:rPr/>
      </w:pPr>
      <w:r>
        <w:rPr/>
        <w:t xml:space="preserve">     </w:t>
      </w:r>
    </w:p>
    <w:p>
      <w:pPr>
        <w:pStyle w:val="Normal"/>
        <w:ind w:left="500" w:hanging="500"/>
        <w:jc w:val="both"/>
        <w:rPr/>
      </w:pPr>
      <w:r>
        <w:rPr/>
        <w:t xml:space="preserve">     </w:t>
      </w:r>
      <w:r>
        <w:rPr/>
        <w:t>2. Контроль за выполнением настоящего постановления оставляю за собой.</w:t>
      </w:r>
    </w:p>
    <w:p>
      <w:pPr>
        <w:pStyle w:val="Normal"/>
        <w:ind w:left="500" w:hanging="500"/>
        <w:jc w:val="both"/>
        <w:rPr/>
      </w:pPr>
      <w:r>
        <w:rPr/>
      </w:r>
    </w:p>
    <w:p>
      <w:pPr>
        <w:pStyle w:val="Style13"/>
        <w:tabs>
          <w:tab w:val="left" w:pos="567" w:leader="none"/>
        </w:tabs>
        <w:spacing w:before="0" w:after="0"/>
        <w:jc w:val="both"/>
        <w:rPr>
          <w:color w:val="000000"/>
        </w:rPr>
      </w:pPr>
      <w:r>
        <w:rPr/>
        <w:t xml:space="preserve">     </w:t>
      </w:r>
      <w:r>
        <w:rPr/>
        <w:t xml:space="preserve">3. Настоящее постановление вступает в силу с момента опубликования (обнародования).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</w:r>
    </w:p>
    <w:p>
      <w:pPr>
        <w:pStyle w:val="Normal"/>
        <w:autoSpaceDE w:val="false"/>
        <w:jc w:val="both"/>
        <w:rPr/>
      </w:pPr>
      <w:r>
        <w:rPr/>
        <w:t xml:space="preserve">Глава администрации </w:t>
      </w:r>
    </w:p>
    <w:p>
      <w:pPr>
        <w:pStyle w:val="Normal"/>
        <w:autoSpaceDE w:val="false"/>
        <w:jc w:val="both"/>
        <w:rPr/>
      </w:pPr>
      <w:r>
        <w:rPr/>
        <w:t xml:space="preserve">Эсто-Алтайского сельского </w:t>
      </w:r>
    </w:p>
    <w:p>
      <w:pPr>
        <w:pStyle w:val="Normal"/>
        <w:autoSpaceDE w:val="false"/>
        <w:jc w:val="both"/>
        <w:rPr/>
      </w:pPr>
      <w:r>
        <w:rPr/>
        <w:t xml:space="preserve">муниципального образования </w:t>
      </w:r>
    </w:p>
    <w:p>
      <w:pPr>
        <w:pStyle w:val="Normal"/>
        <w:autoSpaceDE w:val="false"/>
        <w:jc w:val="both"/>
        <w:rPr/>
      </w:pPr>
      <w:r>
        <w:rPr/>
        <w:t>Республики Калмыкия                                                                              Король Ю.И.</w:t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autoSpaceDE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left" w:pos="2623" w:leader="none"/>
      </w:tabs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tabs>
        <w:tab w:val="left" w:pos="2623" w:leader="none"/>
      </w:tabs>
      <w:jc w:val="center"/>
      <w:outlineLvl w:val="1"/>
    </w:pPr>
    <w:rPr>
      <w:sz w:val="28"/>
      <w:szCs w:val="20"/>
    </w:rPr>
  </w:style>
  <w:style w:type="character" w:styleId="Style12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Title">
    <w:name w:val="ConsPlusTitle"/>
    <w:qFormat/>
    <w:pPr>
      <w:widowControl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3">
    <w:name w:val="Обычный (веб)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2013-07-30T08:55:00Z</dcterms:created>
  <dc:creator>Владелец</dc:creator>
  <dc:description/>
  <cp:keywords/>
  <dc:language>en-US</dc:language>
  <cp:lastModifiedBy>Владелец</cp:lastModifiedBy>
  <dcterms:modified xsi:type="dcterms:W3CDTF">2013-07-30T11:06:00Z</dcterms:modified>
  <cp:revision>9</cp:revision>
  <dc:subject/>
  <dc:title/>
</cp:coreProperties>
</file>