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0"/>
        </w:rPr>
        <w:t xml:space="preserve">                                                                                                                          </w:t>
      </w:r>
      <w:r>
        <w:rPr>
          <w:b/>
          <w:bCs/>
          <w:sz w:val="18"/>
        </w:rPr>
        <w:t>Приложение № 1</w:t>
      </w:r>
    </w:p>
    <w:p>
      <w:pPr>
        <w:pStyle w:val="Normal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</w:t>
      </w:r>
      <w:r>
        <w:rPr>
          <w:sz w:val="18"/>
        </w:rPr>
        <w:t>к Решению Собрания депутатов</w:t>
      </w:r>
    </w:p>
    <w:p>
      <w:pPr>
        <w:pStyle w:val="Normal"/>
        <w:ind w:firstLine="6120"/>
        <w:rPr>
          <w:sz w:val="18"/>
        </w:rPr>
      </w:pPr>
      <w:r>
        <w:rPr>
          <w:sz w:val="18"/>
        </w:rPr>
        <w:t xml:space="preserve">Эсто-Алтайского сельского муниципального </w:t>
      </w:r>
    </w:p>
    <w:p>
      <w:pPr>
        <w:pStyle w:val="Normal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</w:t>
      </w:r>
      <w:r>
        <w:rPr>
          <w:sz w:val="18"/>
        </w:rPr>
        <w:t>образования  Республики Калмыкия</w:t>
      </w:r>
    </w:p>
    <w:p>
      <w:pPr>
        <w:pStyle w:val="Normal"/>
        <w:ind w:firstLine="6120"/>
        <w:rPr>
          <w:sz w:val="18"/>
        </w:rPr>
      </w:pPr>
      <w:r>
        <w:rPr>
          <w:sz w:val="18"/>
        </w:rPr>
        <w:t xml:space="preserve">Республики Калмыкия   «О  бюджете  Эсто-        </w:t>
      </w:r>
    </w:p>
    <w:p>
      <w:pPr>
        <w:pStyle w:val="Normal"/>
        <w:ind w:firstLine="6120"/>
        <w:rPr>
          <w:sz w:val="18"/>
        </w:rPr>
      </w:pPr>
      <w:r>
        <w:rPr>
          <w:sz w:val="18"/>
        </w:rPr>
        <w:t>Алтайского сельского  муниципального</w:t>
      </w:r>
    </w:p>
    <w:p>
      <w:pPr>
        <w:pStyle w:val="Normal"/>
        <w:rPr/>
      </w:pPr>
      <w:r>
        <w:rPr>
          <w:sz w:val="18"/>
        </w:rPr>
        <w:t xml:space="preserve">                                                                                                                                        </w:t>
      </w:r>
      <w:r>
        <w:rPr>
          <w:sz w:val="18"/>
        </w:rPr>
        <w:t>образования   Республики  Калмыкия на 2014год»</w:t>
      </w:r>
    </w:p>
    <w:p>
      <w:pPr>
        <w:pStyle w:val="Normal"/>
        <w:tabs>
          <w:tab w:val="left" w:pos="2680" w:leader="none"/>
        </w:tabs>
        <w:jc w:val="center"/>
        <w:rPr>
          <w:sz w:val="20"/>
        </w:rPr>
      </w:pPr>
      <w:r>
        <w:rPr>
          <w:sz w:val="18"/>
        </w:rPr>
        <w:t xml:space="preserve">                                                                                                      № </w:t>
      </w:r>
      <w:r>
        <w:rPr>
          <w:sz w:val="18"/>
        </w:rPr>
        <w:t>32 от «27» декабря  2013г.</w:t>
      </w:r>
      <w:r>
        <w:rPr>
          <w:sz w:val="20"/>
        </w:rPr>
        <w:t xml:space="preserve">            </w:t>
      </w:r>
    </w:p>
    <w:p>
      <w:pPr>
        <w:pStyle w:val="Normal"/>
        <w:tabs>
          <w:tab w:val="left" w:pos="2680" w:leader="none"/>
        </w:tabs>
        <w:jc w:val="center"/>
        <w:rPr>
          <w:sz w:val="18"/>
        </w:rPr>
      </w:pPr>
      <w:r>
        <w:rPr>
          <w:sz w:val="20"/>
        </w:rPr>
        <w:t xml:space="preserve">                                       </w:t>
      </w:r>
    </w:p>
    <w:p>
      <w:pPr>
        <w:pStyle w:val="Heading5"/>
        <w:numPr>
          <w:ilvl w:val="4"/>
          <w:numId w:val="1"/>
        </w:numPr>
        <w:rPr/>
      </w:pPr>
      <w:r>
        <w:rPr/>
        <w:t>Главные администраторы доходов бюджета Эсто-Алтайского сельского</w:t>
      </w:r>
    </w:p>
    <w:p>
      <w:pPr>
        <w:pStyle w:val="Normal"/>
        <w:tabs>
          <w:tab w:val="left" w:pos="2680" w:leader="none"/>
        </w:tabs>
        <w:jc w:val="center"/>
        <w:rPr>
          <w:b/>
          <w:b/>
          <w:bCs/>
        </w:rPr>
      </w:pPr>
      <w:r>
        <w:rPr>
          <w:b/>
          <w:bCs/>
        </w:rPr>
        <w:t xml:space="preserve">муниципального образования Республики Калмыкия – органа местного самоуправления администрации Эсто-Алтайского сельского  муниципального образования </w:t>
      </w:r>
    </w:p>
    <w:p>
      <w:pPr>
        <w:pStyle w:val="Normal"/>
        <w:tabs>
          <w:tab w:val="left" w:pos="2680" w:leader="none"/>
        </w:tabs>
        <w:jc w:val="center"/>
        <w:rPr/>
      </w:pPr>
      <w:r>
        <w:rPr>
          <w:b/>
          <w:bCs/>
        </w:rPr>
        <w:t xml:space="preserve">Республики Калмыкия на 2014 год. </w:t>
      </w:r>
    </w:p>
    <w:p>
      <w:pPr>
        <w:pStyle w:val="Normal"/>
        <w:tabs>
          <w:tab w:val="left" w:pos="268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0090" w:type="dxa"/>
        <w:jc w:val="left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20"/>
        <w:gridCol w:w="2964"/>
        <w:gridCol w:w="5506"/>
      </w:tblGrid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274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snapToGrid w:val="false"/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Администрация Эсто-Алтайского сельского муниципального образования Республики Калмыкия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1 11 05035 10 0000 120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sz w:val="20"/>
              </w:rPr>
            </w:pPr>
            <w:r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1 14 02052 10 0000 410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sz w:val="20"/>
              </w:rPr>
            </w:pPr>
            <w:r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1 14 02053 10 0000 410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sz w:val="20"/>
              </w:rPr>
            </w:pPr>
            <w:r>
              <w:rPr>
                <w:sz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1 17 01050 10 0000 180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sz w:val="20"/>
              </w:rPr>
            </w:pPr>
            <w:r>
              <w:rPr>
                <w:sz w:val="20"/>
              </w:rPr>
              <w:t>Невыясненные поступления, зачисляемые в бюджеты поселений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/>
            </w:pPr>
            <w:r>
              <w:rPr>
                <w:b/>
                <w:bCs/>
                <w:sz w:val="20"/>
              </w:rPr>
              <w:t>274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1 17 05050 10 0000 180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sz w:val="20"/>
              </w:rPr>
            </w:pPr>
            <w:r>
              <w:rPr>
                <w:sz w:val="20"/>
              </w:rPr>
              <w:t>Прочие неналоговые доходы бюджетов поселений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1 13 01995 10 0000 130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2 02 01001 10 0000 151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sz w:val="20"/>
              </w:rPr>
            </w:pPr>
            <w:r>
              <w:rPr>
                <w:sz w:val="20"/>
              </w:rPr>
              <w:t>Дотации бюджетам поселений на выравнивание бюджетной обеспеченности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2 02 02051 10 0000 151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sz w:val="20"/>
              </w:rPr>
            </w:pPr>
            <w:r>
              <w:rPr>
                <w:sz w:val="20"/>
              </w:rPr>
              <w:t>Субсидии бюджетам субъектов Российской Федерации и муниципальных образований на реализацию федеральных целевых программ.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2 02 02077 10 0000 151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sz w:val="20"/>
              </w:rPr>
            </w:pPr>
            <w:r>
              <w:rPr>
                <w:sz w:val="20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2 02 01003 10 0000 151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sz w:val="20"/>
              </w:rPr>
            </w:pPr>
            <w:r>
              <w:rPr>
                <w:sz w:val="20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2 02 03015 10 0000 151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sz w:val="20"/>
              </w:rPr>
            </w:pPr>
            <w:r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2 08 05000 10 0000 180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sz w:val="20"/>
              </w:rPr>
            </w:pPr>
            <w:r>
              <w:rPr>
                <w:sz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2 07 05000 10 0000 180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 поселений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snapToGrid w:val="false"/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  <w:p>
            <w:pPr>
              <w:pStyle w:val="Normal"/>
              <w:tabs>
                <w:tab w:val="left" w:pos="2680" w:leader="none"/>
              </w:tabs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snapToGrid w:val="false"/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/>
            </w:pPr>
            <w:r>
              <w:rPr/>
              <w:t>Комитет земельных и имущественных отношений Яшалтинского района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281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1 11 05013 10 0000 120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участков.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281</w:t>
            </w:r>
          </w:p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1 14 06013 10 0000 430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281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1 11 05025 10 0000 120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</w:t>
            </w:r>
            <w:r>
              <w:rPr/>
              <w:t xml:space="preserve"> </w:t>
            </w:r>
            <w:r>
              <w:rPr>
                <w:b w:val="false"/>
                <w:bCs w:val="false"/>
                <w:i w:val="false"/>
                <w:iCs w:val="false"/>
              </w:rPr>
              <w:t>бюджетных и автономных учреждений)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snapToGrid w:val="false"/>
              <w:jc w:val="center"/>
              <w:rPr>
                <w:b/>
                <w:b/>
                <w:bCs/>
                <w:i w:val="false"/>
                <w:i w:val="false"/>
                <w:iCs w:val="false"/>
                <w:sz w:val="20"/>
              </w:rPr>
            </w:pPr>
            <w:r>
              <w:rPr>
                <w:b/>
                <w:bCs/>
                <w:i w:val="false"/>
                <w:iCs w:val="false"/>
                <w:sz w:val="20"/>
              </w:rPr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snapToGrid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/>
            </w:pPr>
            <w:r>
              <w:rPr/>
              <w:t>Республиканская служба финансово-бюджетного контроля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1 16 90050 10 0000 140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sz w:val="20"/>
              </w:rPr>
            </w:pPr>
            <w:r>
              <w:rPr>
                <w:sz w:val="20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227" w:header="0" w:top="68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80" w:leader="none"/>
      </w:tabs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80" w:leader="none"/>
      </w:tabs>
      <w:outlineLvl w:val="1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left" w:pos="2680" w:leader="none"/>
      </w:tabs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left" w:pos="2680" w:leader="none"/>
      </w:tabs>
      <w:jc w:val="center"/>
      <w:outlineLvl w:val="5"/>
    </w:pPr>
    <w:rPr>
      <w:i/>
      <w:iCs/>
    </w:rPr>
  </w:style>
  <w:style w:type="character" w:styleId="Style10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2007-01-06T09:51:00Z</dcterms:created>
  <dc:creator>p4</dc:creator>
  <dc:description/>
  <cp:keywords/>
  <dc:language>en-US</dc:language>
  <cp:lastModifiedBy>смо</cp:lastModifiedBy>
  <cp:lastPrinted>2011-12-28T21:52:00Z</cp:lastPrinted>
  <dcterms:modified xsi:type="dcterms:W3CDTF">2013-12-27T09:20:00Z</dcterms:modified>
  <cp:revision>87</cp:revision>
  <dc:subject/>
  <dc:title>Приложение 1</dc:title>
</cp:coreProperties>
</file>